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6E" w:rsidRDefault="00E33E6E" w:rsidP="00E33E6E">
      <w:pPr>
        <w:jc w:val="center"/>
        <w:rPr>
          <w:sz w:val="36"/>
        </w:rPr>
      </w:pPr>
    </w:p>
    <w:p w:rsidR="00E33E6E" w:rsidRDefault="00E33E6E" w:rsidP="00E33E6E">
      <w:pPr>
        <w:jc w:val="center"/>
        <w:rPr>
          <w:sz w:val="36"/>
        </w:rPr>
      </w:pPr>
    </w:p>
    <w:p w:rsidR="00E33E6E" w:rsidRDefault="00E33E6E" w:rsidP="00E33E6E">
      <w:pPr>
        <w:jc w:val="center"/>
        <w:rPr>
          <w:sz w:val="36"/>
        </w:rPr>
      </w:pPr>
    </w:p>
    <w:p w:rsidR="00E33E6E" w:rsidRDefault="00E33E6E" w:rsidP="00E33E6E">
      <w:pPr>
        <w:jc w:val="center"/>
        <w:rPr>
          <w:sz w:val="36"/>
        </w:rPr>
      </w:pPr>
    </w:p>
    <w:p w:rsidR="00E33E6E" w:rsidRDefault="00E33E6E" w:rsidP="00E33E6E">
      <w:pPr>
        <w:jc w:val="center"/>
        <w:rPr>
          <w:sz w:val="36"/>
        </w:rPr>
      </w:pPr>
    </w:p>
    <w:p w:rsidR="00E33E6E" w:rsidRDefault="00E33E6E" w:rsidP="00E33E6E">
      <w:pPr>
        <w:jc w:val="center"/>
        <w:rPr>
          <w:sz w:val="36"/>
        </w:rPr>
      </w:pPr>
    </w:p>
    <w:p w:rsidR="00E33E6E" w:rsidRDefault="00E33E6E" w:rsidP="00E33E6E">
      <w:pPr>
        <w:jc w:val="center"/>
        <w:rPr>
          <w:sz w:val="36"/>
        </w:rPr>
      </w:pPr>
    </w:p>
    <w:p w:rsidR="00E33E6E" w:rsidRDefault="00E33E6E" w:rsidP="00E33E6E">
      <w:pPr>
        <w:jc w:val="center"/>
        <w:rPr>
          <w:sz w:val="36"/>
        </w:rPr>
      </w:pPr>
    </w:p>
    <w:p w:rsidR="00E33E6E" w:rsidRPr="004D1EE9" w:rsidRDefault="00E33E6E" w:rsidP="00E33E6E">
      <w:pPr>
        <w:jc w:val="center"/>
        <w:rPr>
          <w:sz w:val="36"/>
        </w:rPr>
      </w:pPr>
      <w:r w:rsidRPr="004D1EE9">
        <w:rPr>
          <w:sz w:val="36"/>
        </w:rPr>
        <w:t>Semiconductors: Intel Corporation (INTC)</w:t>
      </w:r>
    </w:p>
    <w:p w:rsidR="00E33E6E" w:rsidRPr="004D1EE9" w:rsidRDefault="00E33E6E" w:rsidP="00E33E6E">
      <w:pPr>
        <w:jc w:val="center"/>
        <w:rPr>
          <w:sz w:val="36"/>
        </w:rPr>
      </w:pPr>
    </w:p>
    <w:p w:rsidR="00E33E6E" w:rsidRPr="004D1EE9" w:rsidRDefault="00E33E6E" w:rsidP="00E33E6E">
      <w:pPr>
        <w:jc w:val="center"/>
        <w:rPr>
          <w:sz w:val="36"/>
        </w:rPr>
      </w:pPr>
      <w:r w:rsidRPr="004D1EE9">
        <w:rPr>
          <w:sz w:val="36"/>
        </w:rPr>
        <w:t>FIN-351 Investment Fund and Security Analysis</w:t>
      </w:r>
    </w:p>
    <w:p w:rsidR="00E33E6E" w:rsidRPr="004D1EE9" w:rsidRDefault="00E33E6E" w:rsidP="00E33E6E">
      <w:pPr>
        <w:jc w:val="center"/>
        <w:rPr>
          <w:sz w:val="36"/>
        </w:rPr>
      </w:pPr>
    </w:p>
    <w:p w:rsidR="00E33E6E" w:rsidRPr="004D1EE9" w:rsidRDefault="00E33E6E" w:rsidP="00E33E6E">
      <w:pPr>
        <w:jc w:val="center"/>
        <w:rPr>
          <w:sz w:val="36"/>
        </w:rPr>
      </w:pPr>
      <w:r w:rsidRPr="004D1EE9">
        <w:rPr>
          <w:sz w:val="36"/>
        </w:rPr>
        <w:t>Lee Vang</w:t>
      </w:r>
    </w:p>
    <w:p w:rsidR="00E33E6E" w:rsidRPr="004D1EE9" w:rsidRDefault="00E33E6E" w:rsidP="00E33E6E">
      <w:pPr>
        <w:jc w:val="center"/>
        <w:rPr>
          <w:sz w:val="36"/>
        </w:rPr>
      </w:pPr>
    </w:p>
    <w:p w:rsidR="00E33E6E" w:rsidRPr="004D1EE9" w:rsidRDefault="00E33E6E" w:rsidP="00E33E6E">
      <w:pPr>
        <w:jc w:val="center"/>
        <w:rPr>
          <w:sz w:val="36"/>
        </w:rPr>
      </w:pPr>
      <w:r w:rsidRPr="004D1EE9">
        <w:rPr>
          <w:sz w:val="36"/>
        </w:rPr>
        <w:t>DeVry University Online</w:t>
      </w:r>
    </w:p>
    <w:p w:rsidR="00E33E6E" w:rsidRPr="004D1EE9" w:rsidRDefault="00E33E6E" w:rsidP="00E33E6E">
      <w:pPr>
        <w:jc w:val="center"/>
        <w:rPr>
          <w:sz w:val="36"/>
        </w:rPr>
      </w:pPr>
    </w:p>
    <w:p w:rsidR="00E33E6E" w:rsidRPr="004D1EE9" w:rsidRDefault="00E33E6E" w:rsidP="00E33E6E">
      <w:pPr>
        <w:jc w:val="center"/>
        <w:rPr>
          <w:sz w:val="36"/>
        </w:rPr>
      </w:pPr>
      <w:r w:rsidRPr="004D1EE9">
        <w:rPr>
          <w:sz w:val="36"/>
        </w:rPr>
        <w:fldChar w:fldCharType="begin"/>
      </w:r>
      <w:r w:rsidRPr="004D1EE9">
        <w:rPr>
          <w:sz w:val="36"/>
        </w:rPr>
        <w:instrText xml:space="preserve"> DATE \@ "M/d/yyyy" </w:instrText>
      </w:r>
      <w:r w:rsidRPr="004D1EE9">
        <w:rPr>
          <w:sz w:val="36"/>
        </w:rPr>
        <w:fldChar w:fldCharType="separate"/>
      </w:r>
      <w:r w:rsidR="00DB5052">
        <w:rPr>
          <w:noProof/>
          <w:sz w:val="36"/>
        </w:rPr>
        <w:t>10/14/2012</w:t>
      </w:r>
      <w:r w:rsidRPr="004D1EE9">
        <w:rPr>
          <w:sz w:val="36"/>
        </w:rPr>
        <w:fldChar w:fldCharType="end"/>
      </w:r>
    </w:p>
    <w:p w:rsidR="00E33E6E" w:rsidRDefault="00E33E6E" w:rsidP="00E33E6E">
      <w:pPr>
        <w:jc w:val="center"/>
      </w:pPr>
      <w:r>
        <w:br w:type="page"/>
      </w:r>
    </w:p>
    <w:sdt>
      <w:sdtPr>
        <w:id w:val="-268088403"/>
        <w:docPartObj>
          <w:docPartGallery w:val="Table of Contents"/>
          <w:docPartUnique/>
        </w:docPartObj>
      </w:sdtPr>
      <w:sdtEndPr>
        <w:rPr>
          <w:rFonts w:ascii="Times New Roman" w:eastAsiaTheme="minorHAnsi" w:hAnsi="Times New Roman" w:cstheme="minorHAnsi"/>
          <w:noProof/>
          <w:color w:val="auto"/>
          <w:sz w:val="24"/>
          <w:szCs w:val="24"/>
          <w:lang w:eastAsia="en-US"/>
        </w:rPr>
      </w:sdtEndPr>
      <w:sdtContent>
        <w:p w:rsidR="00733B53" w:rsidRPr="00733B53" w:rsidRDefault="00733B53" w:rsidP="00733B53">
          <w:pPr>
            <w:pStyle w:val="TOCHeading"/>
            <w:jc w:val="center"/>
            <w:rPr>
              <w:sz w:val="32"/>
            </w:rPr>
          </w:pPr>
          <w:r w:rsidRPr="00733B53">
            <w:rPr>
              <w:sz w:val="32"/>
            </w:rPr>
            <w:t>Table of Contents</w:t>
          </w:r>
        </w:p>
        <w:p w:rsidR="00733B53" w:rsidRDefault="00733B53" w:rsidP="00733B53">
          <w:pPr>
            <w:pStyle w:val="TOC1"/>
            <w:tabs>
              <w:tab w:val="right" w:leader="dot" w:pos="9350"/>
            </w:tabs>
            <w:spacing w:line="48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7993500" w:history="1">
            <w:r w:rsidRPr="006A132F">
              <w:rPr>
                <w:rStyle w:val="Hyperlink"/>
                <w:noProof/>
              </w:rPr>
              <w:t>Introduction</w:t>
            </w:r>
            <w:r>
              <w:rPr>
                <w:noProof/>
                <w:webHidden/>
              </w:rPr>
              <w:tab/>
            </w:r>
            <w:r>
              <w:rPr>
                <w:noProof/>
                <w:webHidden/>
              </w:rPr>
              <w:fldChar w:fldCharType="begin"/>
            </w:r>
            <w:r>
              <w:rPr>
                <w:noProof/>
                <w:webHidden/>
              </w:rPr>
              <w:instrText xml:space="preserve"> PAGEREF _Toc337993500 \h </w:instrText>
            </w:r>
            <w:r>
              <w:rPr>
                <w:noProof/>
                <w:webHidden/>
              </w:rPr>
            </w:r>
            <w:r>
              <w:rPr>
                <w:noProof/>
                <w:webHidden/>
              </w:rPr>
              <w:fldChar w:fldCharType="separate"/>
            </w:r>
            <w:r>
              <w:rPr>
                <w:noProof/>
                <w:webHidden/>
              </w:rPr>
              <w:t>3</w:t>
            </w:r>
            <w:r>
              <w:rPr>
                <w:noProof/>
                <w:webHidden/>
              </w:rPr>
              <w:fldChar w:fldCharType="end"/>
            </w:r>
          </w:hyperlink>
        </w:p>
        <w:p w:rsidR="00733B53" w:rsidRDefault="00733B53" w:rsidP="00733B53">
          <w:pPr>
            <w:pStyle w:val="TOC1"/>
            <w:tabs>
              <w:tab w:val="right" w:leader="dot" w:pos="9350"/>
            </w:tabs>
            <w:spacing w:line="480" w:lineRule="auto"/>
            <w:rPr>
              <w:rFonts w:asciiTheme="minorHAnsi" w:eastAsiaTheme="minorEastAsia" w:hAnsiTheme="minorHAnsi" w:cstheme="minorBidi"/>
              <w:noProof/>
              <w:sz w:val="22"/>
              <w:szCs w:val="22"/>
            </w:rPr>
          </w:pPr>
          <w:hyperlink w:anchor="_Toc337993501" w:history="1">
            <w:r w:rsidRPr="006A132F">
              <w:rPr>
                <w:rStyle w:val="Hyperlink"/>
                <w:noProof/>
              </w:rPr>
              <w:t>Economic Analysis</w:t>
            </w:r>
            <w:r>
              <w:rPr>
                <w:noProof/>
                <w:webHidden/>
              </w:rPr>
              <w:tab/>
            </w:r>
            <w:r>
              <w:rPr>
                <w:noProof/>
                <w:webHidden/>
              </w:rPr>
              <w:fldChar w:fldCharType="begin"/>
            </w:r>
            <w:r>
              <w:rPr>
                <w:noProof/>
                <w:webHidden/>
              </w:rPr>
              <w:instrText xml:space="preserve"> PAGEREF _Toc337993501 \h </w:instrText>
            </w:r>
            <w:r>
              <w:rPr>
                <w:noProof/>
                <w:webHidden/>
              </w:rPr>
            </w:r>
            <w:r>
              <w:rPr>
                <w:noProof/>
                <w:webHidden/>
              </w:rPr>
              <w:fldChar w:fldCharType="separate"/>
            </w:r>
            <w:r>
              <w:rPr>
                <w:noProof/>
                <w:webHidden/>
              </w:rPr>
              <w:t>4</w:t>
            </w:r>
            <w:r>
              <w:rPr>
                <w:noProof/>
                <w:webHidden/>
              </w:rPr>
              <w:fldChar w:fldCharType="end"/>
            </w:r>
          </w:hyperlink>
        </w:p>
        <w:p w:rsidR="00733B53" w:rsidRDefault="00733B53" w:rsidP="00733B53">
          <w:pPr>
            <w:pStyle w:val="TOC1"/>
            <w:tabs>
              <w:tab w:val="right" w:leader="dot" w:pos="9350"/>
            </w:tabs>
            <w:spacing w:line="480" w:lineRule="auto"/>
            <w:rPr>
              <w:rFonts w:asciiTheme="minorHAnsi" w:eastAsiaTheme="minorEastAsia" w:hAnsiTheme="minorHAnsi" w:cstheme="minorBidi"/>
              <w:noProof/>
              <w:sz w:val="22"/>
              <w:szCs w:val="22"/>
            </w:rPr>
          </w:pPr>
          <w:hyperlink w:anchor="_Toc337993502" w:history="1">
            <w:r w:rsidRPr="006A132F">
              <w:rPr>
                <w:rStyle w:val="Hyperlink"/>
                <w:noProof/>
              </w:rPr>
              <w:t>Industry Analysis</w:t>
            </w:r>
            <w:r>
              <w:rPr>
                <w:noProof/>
                <w:webHidden/>
              </w:rPr>
              <w:tab/>
            </w:r>
            <w:r>
              <w:rPr>
                <w:noProof/>
                <w:webHidden/>
              </w:rPr>
              <w:fldChar w:fldCharType="begin"/>
            </w:r>
            <w:r>
              <w:rPr>
                <w:noProof/>
                <w:webHidden/>
              </w:rPr>
              <w:instrText xml:space="preserve"> PAGEREF _Toc337993502 \h </w:instrText>
            </w:r>
            <w:r>
              <w:rPr>
                <w:noProof/>
                <w:webHidden/>
              </w:rPr>
            </w:r>
            <w:r>
              <w:rPr>
                <w:noProof/>
                <w:webHidden/>
              </w:rPr>
              <w:fldChar w:fldCharType="separate"/>
            </w:r>
            <w:r>
              <w:rPr>
                <w:noProof/>
                <w:webHidden/>
              </w:rPr>
              <w:t>5</w:t>
            </w:r>
            <w:r>
              <w:rPr>
                <w:noProof/>
                <w:webHidden/>
              </w:rPr>
              <w:fldChar w:fldCharType="end"/>
            </w:r>
          </w:hyperlink>
        </w:p>
        <w:p w:rsidR="00733B53" w:rsidRDefault="00733B53" w:rsidP="00733B53">
          <w:pPr>
            <w:pStyle w:val="TOC1"/>
            <w:tabs>
              <w:tab w:val="right" w:leader="dot" w:pos="9350"/>
            </w:tabs>
            <w:spacing w:line="480" w:lineRule="auto"/>
            <w:rPr>
              <w:rFonts w:asciiTheme="minorHAnsi" w:eastAsiaTheme="minorEastAsia" w:hAnsiTheme="minorHAnsi" w:cstheme="minorBidi"/>
              <w:noProof/>
              <w:sz w:val="22"/>
              <w:szCs w:val="22"/>
            </w:rPr>
          </w:pPr>
          <w:hyperlink w:anchor="_Toc337993503" w:history="1">
            <w:r w:rsidRPr="006A132F">
              <w:rPr>
                <w:rStyle w:val="Hyperlink"/>
                <w:noProof/>
              </w:rPr>
              <w:t>Financial Analysis</w:t>
            </w:r>
            <w:r>
              <w:rPr>
                <w:noProof/>
                <w:webHidden/>
              </w:rPr>
              <w:tab/>
            </w:r>
            <w:r>
              <w:rPr>
                <w:noProof/>
                <w:webHidden/>
              </w:rPr>
              <w:fldChar w:fldCharType="begin"/>
            </w:r>
            <w:r>
              <w:rPr>
                <w:noProof/>
                <w:webHidden/>
              </w:rPr>
              <w:instrText xml:space="preserve"> PAGEREF _Toc337993503 \h </w:instrText>
            </w:r>
            <w:r>
              <w:rPr>
                <w:noProof/>
                <w:webHidden/>
              </w:rPr>
            </w:r>
            <w:r>
              <w:rPr>
                <w:noProof/>
                <w:webHidden/>
              </w:rPr>
              <w:fldChar w:fldCharType="separate"/>
            </w:r>
            <w:r>
              <w:rPr>
                <w:noProof/>
                <w:webHidden/>
              </w:rPr>
              <w:t>6</w:t>
            </w:r>
            <w:r>
              <w:rPr>
                <w:noProof/>
                <w:webHidden/>
              </w:rPr>
              <w:fldChar w:fldCharType="end"/>
            </w:r>
          </w:hyperlink>
        </w:p>
        <w:p w:rsidR="00733B53" w:rsidRDefault="00733B53" w:rsidP="00733B53">
          <w:pPr>
            <w:pStyle w:val="TOC1"/>
            <w:tabs>
              <w:tab w:val="right" w:leader="dot" w:pos="9350"/>
            </w:tabs>
            <w:spacing w:line="480" w:lineRule="auto"/>
            <w:rPr>
              <w:rFonts w:asciiTheme="minorHAnsi" w:eastAsiaTheme="minorEastAsia" w:hAnsiTheme="minorHAnsi" w:cstheme="minorBidi"/>
              <w:noProof/>
              <w:sz w:val="22"/>
              <w:szCs w:val="22"/>
            </w:rPr>
          </w:pPr>
          <w:hyperlink w:anchor="_Toc337993504" w:history="1">
            <w:r w:rsidRPr="006A132F">
              <w:rPr>
                <w:rStyle w:val="Hyperlink"/>
                <w:noProof/>
              </w:rPr>
              <w:t>Ratio Analysis</w:t>
            </w:r>
            <w:r>
              <w:rPr>
                <w:noProof/>
                <w:webHidden/>
              </w:rPr>
              <w:tab/>
            </w:r>
            <w:r>
              <w:rPr>
                <w:noProof/>
                <w:webHidden/>
              </w:rPr>
              <w:fldChar w:fldCharType="begin"/>
            </w:r>
            <w:r>
              <w:rPr>
                <w:noProof/>
                <w:webHidden/>
              </w:rPr>
              <w:instrText xml:space="preserve"> PAGEREF _Toc337993504 \h </w:instrText>
            </w:r>
            <w:r>
              <w:rPr>
                <w:noProof/>
                <w:webHidden/>
              </w:rPr>
            </w:r>
            <w:r>
              <w:rPr>
                <w:noProof/>
                <w:webHidden/>
              </w:rPr>
              <w:fldChar w:fldCharType="separate"/>
            </w:r>
            <w:r>
              <w:rPr>
                <w:noProof/>
                <w:webHidden/>
              </w:rPr>
              <w:t>8</w:t>
            </w:r>
            <w:r>
              <w:rPr>
                <w:noProof/>
                <w:webHidden/>
              </w:rPr>
              <w:fldChar w:fldCharType="end"/>
            </w:r>
          </w:hyperlink>
        </w:p>
        <w:p w:rsidR="00733B53" w:rsidRDefault="00733B53" w:rsidP="00733B53">
          <w:pPr>
            <w:pStyle w:val="TOC1"/>
            <w:tabs>
              <w:tab w:val="right" w:leader="dot" w:pos="9350"/>
            </w:tabs>
            <w:spacing w:line="480" w:lineRule="auto"/>
            <w:rPr>
              <w:rFonts w:asciiTheme="minorHAnsi" w:eastAsiaTheme="minorEastAsia" w:hAnsiTheme="minorHAnsi" w:cstheme="minorBidi"/>
              <w:noProof/>
              <w:sz w:val="22"/>
              <w:szCs w:val="22"/>
            </w:rPr>
          </w:pPr>
          <w:hyperlink w:anchor="_Toc337993505" w:history="1">
            <w:r w:rsidRPr="006A132F">
              <w:rPr>
                <w:rStyle w:val="Hyperlink"/>
                <w:noProof/>
              </w:rPr>
              <w:t>Technical Analysis</w:t>
            </w:r>
            <w:r>
              <w:rPr>
                <w:noProof/>
                <w:webHidden/>
              </w:rPr>
              <w:tab/>
            </w:r>
            <w:r>
              <w:rPr>
                <w:noProof/>
                <w:webHidden/>
              </w:rPr>
              <w:fldChar w:fldCharType="begin"/>
            </w:r>
            <w:r>
              <w:rPr>
                <w:noProof/>
                <w:webHidden/>
              </w:rPr>
              <w:instrText xml:space="preserve"> PAGEREF _Toc337993505 \h </w:instrText>
            </w:r>
            <w:r>
              <w:rPr>
                <w:noProof/>
                <w:webHidden/>
              </w:rPr>
            </w:r>
            <w:r>
              <w:rPr>
                <w:noProof/>
                <w:webHidden/>
              </w:rPr>
              <w:fldChar w:fldCharType="separate"/>
            </w:r>
            <w:r>
              <w:rPr>
                <w:noProof/>
                <w:webHidden/>
              </w:rPr>
              <w:t>12</w:t>
            </w:r>
            <w:r>
              <w:rPr>
                <w:noProof/>
                <w:webHidden/>
              </w:rPr>
              <w:fldChar w:fldCharType="end"/>
            </w:r>
          </w:hyperlink>
        </w:p>
        <w:p w:rsidR="00733B53" w:rsidRDefault="00733B53" w:rsidP="00733B53">
          <w:pPr>
            <w:pStyle w:val="TOC1"/>
            <w:tabs>
              <w:tab w:val="right" w:leader="dot" w:pos="9350"/>
            </w:tabs>
            <w:spacing w:line="480" w:lineRule="auto"/>
            <w:rPr>
              <w:rFonts w:asciiTheme="minorHAnsi" w:eastAsiaTheme="minorEastAsia" w:hAnsiTheme="minorHAnsi" w:cstheme="minorBidi"/>
              <w:noProof/>
              <w:sz w:val="22"/>
              <w:szCs w:val="22"/>
            </w:rPr>
          </w:pPr>
          <w:hyperlink w:anchor="_Toc337993506" w:history="1">
            <w:r w:rsidRPr="006A132F">
              <w:rPr>
                <w:rStyle w:val="Hyperlink"/>
                <w:noProof/>
              </w:rPr>
              <w:t>Graph 1</w:t>
            </w:r>
            <w:r>
              <w:rPr>
                <w:noProof/>
                <w:webHidden/>
              </w:rPr>
              <w:tab/>
            </w:r>
            <w:r>
              <w:rPr>
                <w:noProof/>
                <w:webHidden/>
              </w:rPr>
              <w:fldChar w:fldCharType="begin"/>
            </w:r>
            <w:r>
              <w:rPr>
                <w:noProof/>
                <w:webHidden/>
              </w:rPr>
              <w:instrText xml:space="preserve"> PAGEREF _Toc337993506 \h </w:instrText>
            </w:r>
            <w:r>
              <w:rPr>
                <w:noProof/>
                <w:webHidden/>
              </w:rPr>
            </w:r>
            <w:r>
              <w:rPr>
                <w:noProof/>
                <w:webHidden/>
              </w:rPr>
              <w:fldChar w:fldCharType="separate"/>
            </w:r>
            <w:r>
              <w:rPr>
                <w:noProof/>
                <w:webHidden/>
              </w:rPr>
              <w:t>12</w:t>
            </w:r>
            <w:r>
              <w:rPr>
                <w:noProof/>
                <w:webHidden/>
              </w:rPr>
              <w:fldChar w:fldCharType="end"/>
            </w:r>
          </w:hyperlink>
        </w:p>
        <w:p w:rsidR="00733B53" w:rsidRDefault="00733B53" w:rsidP="00733B53">
          <w:pPr>
            <w:pStyle w:val="TOC1"/>
            <w:tabs>
              <w:tab w:val="right" w:leader="dot" w:pos="9350"/>
            </w:tabs>
            <w:spacing w:line="480" w:lineRule="auto"/>
            <w:rPr>
              <w:rFonts w:asciiTheme="minorHAnsi" w:eastAsiaTheme="minorEastAsia" w:hAnsiTheme="minorHAnsi" w:cstheme="minorBidi"/>
              <w:noProof/>
              <w:sz w:val="22"/>
              <w:szCs w:val="22"/>
            </w:rPr>
          </w:pPr>
          <w:hyperlink w:anchor="_Toc337993507" w:history="1">
            <w:r w:rsidRPr="006A132F">
              <w:rPr>
                <w:rStyle w:val="Hyperlink"/>
                <w:noProof/>
              </w:rPr>
              <w:t>Recommendation</w:t>
            </w:r>
            <w:r>
              <w:rPr>
                <w:noProof/>
                <w:webHidden/>
              </w:rPr>
              <w:tab/>
            </w:r>
            <w:r>
              <w:rPr>
                <w:noProof/>
                <w:webHidden/>
              </w:rPr>
              <w:fldChar w:fldCharType="begin"/>
            </w:r>
            <w:r>
              <w:rPr>
                <w:noProof/>
                <w:webHidden/>
              </w:rPr>
              <w:instrText xml:space="preserve"> PAGEREF _Toc337993507 \h </w:instrText>
            </w:r>
            <w:r>
              <w:rPr>
                <w:noProof/>
                <w:webHidden/>
              </w:rPr>
            </w:r>
            <w:r>
              <w:rPr>
                <w:noProof/>
                <w:webHidden/>
              </w:rPr>
              <w:fldChar w:fldCharType="separate"/>
            </w:r>
            <w:r>
              <w:rPr>
                <w:noProof/>
                <w:webHidden/>
              </w:rPr>
              <w:t>13</w:t>
            </w:r>
            <w:r>
              <w:rPr>
                <w:noProof/>
                <w:webHidden/>
              </w:rPr>
              <w:fldChar w:fldCharType="end"/>
            </w:r>
          </w:hyperlink>
        </w:p>
        <w:p w:rsidR="00733B53" w:rsidRDefault="00733B53" w:rsidP="00733B53">
          <w:pPr>
            <w:pStyle w:val="TOC1"/>
            <w:tabs>
              <w:tab w:val="right" w:leader="dot" w:pos="9350"/>
            </w:tabs>
            <w:spacing w:line="480" w:lineRule="auto"/>
            <w:rPr>
              <w:rFonts w:asciiTheme="minorHAnsi" w:eastAsiaTheme="minorEastAsia" w:hAnsiTheme="minorHAnsi" w:cstheme="minorBidi"/>
              <w:noProof/>
              <w:sz w:val="22"/>
              <w:szCs w:val="22"/>
            </w:rPr>
          </w:pPr>
          <w:hyperlink w:anchor="_Toc337993508" w:history="1">
            <w:r w:rsidRPr="006A132F">
              <w:rPr>
                <w:rStyle w:val="Hyperlink"/>
                <w:noProof/>
              </w:rPr>
              <w:t>Conclusion</w:t>
            </w:r>
            <w:r>
              <w:rPr>
                <w:noProof/>
                <w:webHidden/>
              </w:rPr>
              <w:tab/>
            </w:r>
            <w:r>
              <w:rPr>
                <w:noProof/>
                <w:webHidden/>
              </w:rPr>
              <w:fldChar w:fldCharType="begin"/>
            </w:r>
            <w:r>
              <w:rPr>
                <w:noProof/>
                <w:webHidden/>
              </w:rPr>
              <w:instrText xml:space="preserve"> PAGEREF _Toc337993508 \h </w:instrText>
            </w:r>
            <w:r>
              <w:rPr>
                <w:noProof/>
                <w:webHidden/>
              </w:rPr>
            </w:r>
            <w:r>
              <w:rPr>
                <w:noProof/>
                <w:webHidden/>
              </w:rPr>
              <w:fldChar w:fldCharType="separate"/>
            </w:r>
            <w:r>
              <w:rPr>
                <w:noProof/>
                <w:webHidden/>
              </w:rPr>
              <w:t>13</w:t>
            </w:r>
            <w:r>
              <w:rPr>
                <w:noProof/>
                <w:webHidden/>
              </w:rPr>
              <w:fldChar w:fldCharType="end"/>
            </w:r>
          </w:hyperlink>
        </w:p>
        <w:p w:rsidR="00733B53" w:rsidRDefault="00733B53" w:rsidP="00733B53">
          <w:pPr>
            <w:pStyle w:val="TOC1"/>
            <w:tabs>
              <w:tab w:val="right" w:leader="dot" w:pos="9350"/>
            </w:tabs>
            <w:spacing w:line="480" w:lineRule="auto"/>
            <w:rPr>
              <w:rFonts w:asciiTheme="minorHAnsi" w:eastAsiaTheme="minorEastAsia" w:hAnsiTheme="minorHAnsi" w:cstheme="minorBidi"/>
              <w:noProof/>
              <w:sz w:val="22"/>
              <w:szCs w:val="22"/>
            </w:rPr>
          </w:pPr>
          <w:hyperlink w:anchor="_Toc337993509" w:history="1">
            <w:r w:rsidRPr="006A132F">
              <w:rPr>
                <w:rStyle w:val="Hyperlink"/>
                <w:noProof/>
              </w:rPr>
              <w:t>REFERENCE</w:t>
            </w:r>
            <w:r>
              <w:rPr>
                <w:noProof/>
                <w:webHidden/>
              </w:rPr>
              <w:tab/>
            </w:r>
            <w:r>
              <w:rPr>
                <w:noProof/>
                <w:webHidden/>
              </w:rPr>
              <w:fldChar w:fldCharType="begin"/>
            </w:r>
            <w:r>
              <w:rPr>
                <w:noProof/>
                <w:webHidden/>
              </w:rPr>
              <w:instrText xml:space="preserve"> PAGEREF _Toc337993509 \h </w:instrText>
            </w:r>
            <w:r>
              <w:rPr>
                <w:noProof/>
                <w:webHidden/>
              </w:rPr>
            </w:r>
            <w:r>
              <w:rPr>
                <w:noProof/>
                <w:webHidden/>
              </w:rPr>
              <w:fldChar w:fldCharType="separate"/>
            </w:r>
            <w:r>
              <w:rPr>
                <w:noProof/>
                <w:webHidden/>
              </w:rPr>
              <w:t>14</w:t>
            </w:r>
            <w:r>
              <w:rPr>
                <w:noProof/>
                <w:webHidden/>
              </w:rPr>
              <w:fldChar w:fldCharType="end"/>
            </w:r>
          </w:hyperlink>
        </w:p>
        <w:p w:rsidR="00733B53" w:rsidRDefault="00733B53">
          <w:r>
            <w:rPr>
              <w:b/>
              <w:bCs/>
              <w:noProof/>
            </w:rPr>
            <w:fldChar w:fldCharType="end"/>
          </w:r>
        </w:p>
      </w:sdtContent>
    </w:sdt>
    <w:p w:rsidR="00E33E6E" w:rsidRDefault="00E33E6E" w:rsidP="00E33E6E">
      <w:pPr>
        <w:jc w:val="center"/>
      </w:pPr>
    </w:p>
    <w:p w:rsidR="00E33E6E" w:rsidRDefault="00E33E6E" w:rsidP="00E33E6E">
      <w:pPr>
        <w:jc w:val="center"/>
      </w:pPr>
    </w:p>
    <w:p w:rsidR="00E33E6E" w:rsidRDefault="00E33E6E" w:rsidP="00E33E6E">
      <w:pPr>
        <w:jc w:val="center"/>
      </w:pPr>
    </w:p>
    <w:p w:rsidR="00E33E6E" w:rsidRDefault="00E33E6E"/>
    <w:p w:rsidR="005D6C3A" w:rsidRDefault="005D6C3A" w:rsidP="00F111FB">
      <w:pPr>
        <w:jc w:val="center"/>
      </w:pPr>
    </w:p>
    <w:p w:rsidR="00F111FB" w:rsidRDefault="00F111FB" w:rsidP="00F111FB">
      <w:pPr>
        <w:jc w:val="center"/>
      </w:pPr>
    </w:p>
    <w:p w:rsidR="00F111FB" w:rsidRDefault="00F111FB" w:rsidP="00F111FB">
      <w:pPr>
        <w:jc w:val="center"/>
      </w:pPr>
    </w:p>
    <w:p w:rsidR="00F111FB" w:rsidRDefault="00F111FB" w:rsidP="00F111FB">
      <w:pPr>
        <w:jc w:val="center"/>
      </w:pPr>
    </w:p>
    <w:p w:rsidR="00F111FB" w:rsidRDefault="00F111FB" w:rsidP="00F111FB">
      <w:pPr>
        <w:jc w:val="center"/>
      </w:pPr>
    </w:p>
    <w:p w:rsidR="00F111FB" w:rsidRDefault="00F111FB" w:rsidP="00F111FB">
      <w:pPr>
        <w:jc w:val="center"/>
      </w:pPr>
    </w:p>
    <w:p w:rsidR="00F111FB" w:rsidRDefault="00F111FB" w:rsidP="00F111FB">
      <w:pPr>
        <w:jc w:val="center"/>
      </w:pPr>
    </w:p>
    <w:p w:rsidR="00991B7C" w:rsidRDefault="00991B7C" w:rsidP="00F111FB">
      <w:pPr>
        <w:jc w:val="center"/>
      </w:pPr>
    </w:p>
    <w:p w:rsidR="00991B7C" w:rsidRDefault="00991B7C" w:rsidP="00F111FB">
      <w:pPr>
        <w:jc w:val="center"/>
      </w:pPr>
    </w:p>
    <w:p w:rsidR="00991B7C" w:rsidRDefault="00991B7C" w:rsidP="00F111FB">
      <w:pPr>
        <w:jc w:val="center"/>
      </w:pPr>
    </w:p>
    <w:p w:rsidR="00991B7C" w:rsidRDefault="00991B7C" w:rsidP="00F111FB">
      <w:pPr>
        <w:jc w:val="center"/>
      </w:pPr>
    </w:p>
    <w:p w:rsidR="00F87ED7" w:rsidRDefault="00F87ED7" w:rsidP="00733B53">
      <w:pPr>
        <w:rPr>
          <w:sz w:val="32"/>
        </w:rPr>
      </w:pPr>
    </w:p>
    <w:p w:rsidR="00F111FB" w:rsidRDefault="00F111FB" w:rsidP="00F111FB">
      <w:pPr>
        <w:jc w:val="center"/>
        <w:rPr>
          <w:sz w:val="32"/>
        </w:rPr>
      </w:pPr>
    </w:p>
    <w:p w:rsidR="006B7331" w:rsidRPr="00F87ED7" w:rsidRDefault="00F111FB" w:rsidP="00F111FB">
      <w:pPr>
        <w:jc w:val="center"/>
        <w:rPr>
          <w:sz w:val="36"/>
        </w:rPr>
      </w:pPr>
      <w:r w:rsidRPr="00F87ED7">
        <w:rPr>
          <w:noProof/>
          <w:sz w:val="36"/>
        </w:rPr>
        <w:lastRenderedPageBreak/>
        <mc:AlternateContent>
          <mc:Choice Requires="wps">
            <w:drawing>
              <wp:anchor distT="0" distB="0" distL="114300" distR="114300" simplePos="0" relativeHeight="251659264" behindDoc="0" locked="0" layoutInCell="1" allowOverlap="1" wp14:anchorId="525D9B9E" wp14:editId="6C27DB08">
                <wp:simplePos x="0" y="0"/>
                <wp:positionH relativeFrom="margin">
                  <wp:align>center</wp:align>
                </wp:positionH>
                <wp:positionV relativeFrom="paragraph">
                  <wp:posOffset>-257175</wp:posOffset>
                </wp:positionV>
                <wp:extent cx="6400800" cy="0"/>
                <wp:effectExtent l="57150" t="38100" r="57150" b="952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25pt" to="7in,-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" strokecolor="#4f81bd [3204]" strokeweight="3pt">
                <v:shadow on="t" color="black" opacity="22937f" origin=",.5" offset="0,.63889mm"/>
                <w10:wrap anchorx="margin"/>
              </v:line>
            </w:pict>
          </mc:Fallback>
        </mc:AlternateContent>
      </w:r>
      <w:bookmarkStart w:id="0" w:name="_Toc337993500"/>
      <w:r w:rsidR="006B7331" w:rsidRPr="00857C3F">
        <w:rPr>
          <w:rStyle w:val="Heading1Char"/>
        </w:rPr>
        <w:t>Introduction</w:t>
      </w:r>
      <w:bookmarkEnd w:id="0"/>
    </w:p>
    <w:p w:rsidR="00F111FB" w:rsidRDefault="00331ABD" w:rsidP="00331ABD">
      <w:pPr>
        <w:spacing w:line="480" w:lineRule="auto"/>
        <w:rPr>
          <w:sz w:val="32"/>
        </w:rPr>
      </w:pPr>
      <w:r>
        <w:rPr>
          <w:sz w:val="32"/>
        </w:rPr>
        <w:tab/>
      </w:r>
      <w:r w:rsidR="009F666F">
        <w:t xml:space="preserve">The semiconductor industry serves as an indicator of how much technology has progress. </w:t>
      </w:r>
      <w:r w:rsidR="005860EA">
        <w:t xml:space="preserve">New developments in the industry determine the way we work, how we communicate, and how we entertain ourselves. Personal computers, cars, cell phones, iPods, PlayStation, Xbox, Wii, all use semiconductors. </w:t>
      </w:r>
      <w:r w:rsidR="0055127D">
        <w:t>The semiconductor industry lives by the simple creed of smaller, faster and cheaper. New chips are packing more transistors and getting cheape</w:t>
      </w:r>
      <w:r w:rsidR="002775C4">
        <w:t>r because of fierce competition and new technologies.</w:t>
      </w:r>
      <w:r w:rsidR="00752B9F">
        <w:t xml:space="preserve"> </w:t>
      </w:r>
      <w:r w:rsidR="00D10644">
        <w:t>In this</w:t>
      </w:r>
      <w:r w:rsidR="002775C4">
        <w:t xml:space="preserve"> industry, the </w:t>
      </w:r>
      <w:r w:rsidR="001F6CB0">
        <w:t xml:space="preserve">Intel Corporation (INTC) dominates the world in the design and fabrication of semiconductor devices. </w:t>
      </w:r>
      <w:r w:rsidR="00D10644">
        <w:t>Even though t</w:t>
      </w:r>
      <w:r w:rsidR="001658AC">
        <w:t>he United States industry faces regulations by the government and export quota</w:t>
      </w:r>
      <w:r w:rsidR="00D10644">
        <w:t>s, the</w:t>
      </w:r>
      <w:r w:rsidR="00866532">
        <w:t xml:space="preserve"> industry in the U.</w:t>
      </w:r>
      <w:r w:rsidR="00FF7D44">
        <w:t>S. aims to lead</w:t>
      </w:r>
      <w:r w:rsidR="00866532">
        <w:t xml:space="preserve"> globally in the commercialization of innovation which is critical to the U.S. national safety and the economy. </w:t>
      </w:r>
      <w:r w:rsidR="002775C4">
        <w:t xml:space="preserve">However, the downturn </w:t>
      </w:r>
      <w:r w:rsidR="00BF1B67">
        <w:t>of the</w:t>
      </w:r>
      <w:r w:rsidR="00FF7D44">
        <w:t xml:space="preserve"> economy indicates that the U.S. is no longer assured of being the world’s leader in</w:t>
      </w:r>
      <w:r w:rsidR="009268BE">
        <w:t xml:space="preserve"> the discovery of</w:t>
      </w:r>
      <w:r w:rsidR="00FF7D44">
        <w:t xml:space="preserve"> new commercial products. While the United State</w:t>
      </w:r>
      <w:r w:rsidR="00D10644">
        <w:t>s innovation system slowly erode</w:t>
      </w:r>
      <w:r w:rsidR="00FF7D44">
        <w:t xml:space="preserve"> through financial and policy support, the rest of the world is working to improve </w:t>
      </w:r>
      <w:r w:rsidR="009268BE">
        <w:t>its’ capacity to generate new technologies and products, attract and grow existing industries, and build new positions in the</w:t>
      </w:r>
      <w:r w:rsidR="005860EA">
        <w:t xml:space="preserve"> high technology industries.</w:t>
      </w:r>
      <w:r w:rsidR="0066590F">
        <w:t xml:space="preserve"> Intel is facing tough competition.</w:t>
      </w:r>
    </w:p>
    <w:p w:rsidR="001837EE" w:rsidRDefault="001837EE" w:rsidP="00F111FB">
      <w:pPr>
        <w:jc w:val="center"/>
        <w:rPr>
          <w:sz w:val="32"/>
        </w:rPr>
      </w:pPr>
    </w:p>
    <w:p w:rsidR="001837EE" w:rsidRDefault="001837EE" w:rsidP="001837EE">
      <w:pPr>
        <w:rPr>
          <w:sz w:val="32"/>
        </w:rPr>
      </w:pPr>
    </w:p>
    <w:p w:rsidR="001837EE" w:rsidRDefault="001837EE" w:rsidP="001837EE">
      <w:pPr>
        <w:rPr>
          <w:sz w:val="32"/>
        </w:rPr>
      </w:pPr>
    </w:p>
    <w:p w:rsidR="001837EE" w:rsidRDefault="001837EE" w:rsidP="001837EE">
      <w:pPr>
        <w:rPr>
          <w:sz w:val="32"/>
        </w:rPr>
      </w:pPr>
    </w:p>
    <w:p w:rsidR="001837EE" w:rsidRDefault="001837EE" w:rsidP="001837EE">
      <w:pPr>
        <w:rPr>
          <w:sz w:val="32"/>
        </w:rPr>
      </w:pPr>
    </w:p>
    <w:p w:rsidR="001837EE" w:rsidRDefault="001837EE" w:rsidP="001837EE">
      <w:pPr>
        <w:rPr>
          <w:sz w:val="32"/>
        </w:rPr>
      </w:pPr>
    </w:p>
    <w:p w:rsidR="00C06990" w:rsidRDefault="00C06990" w:rsidP="001837EE">
      <w:pPr>
        <w:rPr>
          <w:sz w:val="32"/>
        </w:rPr>
      </w:pPr>
    </w:p>
    <w:p w:rsidR="001837EE" w:rsidRDefault="001837EE" w:rsidP="001837EE">
      <w:pPr>
        <w:rPr>
          <w:sz w:val="32"/>
        </w:rPr>
      </w:pPr>
    </w:p>
    <w:p w:rsidR="00F87ED7" w:rsidRDefault="00F87ED7" w:rsidP="001837EE">
      <w:pPr>
        <w:jc w:val="center"/>
        <w:rPr>
          <w:rFonts w:ascii="Arial Black" w:hAnsi="Arial Black"/>
          <w:b/>
          <w:sz w:val="32"/>
        </w:rPr>
      </w:pPr>
    </w:p>
    <w:p w:rsidR="001837EE" w:rsidRPr="00787B46" w:rsidRDefault="001837EE" w:rsidP="001837EE">
      <w:pPr>
        <w:jc w:val="center"/>
        <w:rPr>
          <w:rFonts w:cs="Times New Roman"/>
          <w:sz w:val="36"/>
        </w:rPr>
      </w:pPr>
      <w:r w:rsidRPr="00787B46">
        <w:rPr>
          <w:rFonts w:cs="Times New Roman"/>
          <w:b/>
          <w:sz w:val="36"/>
        </w:rPr>
        <w:lastRenderedPageBreak/>
        <w:t>Fundamental Analysis</w:t>
      </w:r>
    </w:p>
    <w:p w:rsidR="00836845" w:rsidRDefault="003F5B6C" w:rsidP="00F111FB">
      <w:pPr>
        <w:jc w:val="center"/>
        <w:rPr>
          <w:b/>
          <w:sz w:val="32"/>
        </w:rPr>
      </w:pPr>
      <w:r>
        <w:rPr>
          <w:noProof/>
          <w:sz w:val="32"/>
        </w:rPr>
        <mc:AlternateContent>
          <mc:Choice Requires="wps">
            <w:drawing>
              <wp:anchor distT="0" distB="0" distL="114300" distR="114300" simplePos="0" relativeHeight="251661312" behindDoc="0" locked="0" layoutInCell="1" allowOverlap="1" wp14:anchorId="500AAB8E" wp14:editId="446444EC">
                <wp:simplePos x="0" y="0"/>
                <wp:positionH relativeFrom="margin">
                  <wp:align>center</wp:align>
                </wp:positionH>
                <wp:positionV relativeFrom="paragraph">
                  <wp:posOffset>-104775</wp:posOffset>
                </wp:positionV>
                <wp:extent cx="640080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flipV="1">
                          <a:off x="0" y="0"/>
                          <a:ext cx="6400800" cy="1"/>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25pt" to="7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" strokecolor="#4f81bd" strokeweight="3pt">
                <v:shadow on="t" color="black" opacity="22937f" origin=",.5" offset="0,.63889mm"/>
                <w10:wrap anchorx="margin"/>
              </v:line>
            </w:pict>
          </mc:Fallback>
        </mc:AlternateContent>
      </w:r>
      <w:bookmarkStart w:id="1" w:name="_Toc337993501"/>
      <w:r w:rsidR="001837EE" w:rsidRPr="00C170C0">
        <w:rPr>
          <w:rStyle w:val="Heading1Char"/>
        </w:rPr>
        <w:t>Economic Analysis</w:t>
      </w:r>
      <w:bookmarkEnd w:id="1"/>
    </w:p>
    <w:p w:rsidR="007E67C8" w:rsidRDefault="00E905DD" w:rsidP="00260622">
      <w:pPr>
        <w:spacing w:line="480" w:lineRule="auto"/>
      </w:pPr>
      <w:r>
        <w:rPr>
          <w:sz w:val="32"/>
          <w:szCs w:val="32"/>
        </w:rPr>
        <w:tab/>
      </w:r>
      <w:r>
        <w:t xml:space="preserve">The United States current fiscal policy is loose or expansionary; government spending is higher than revenue. The desired effect of the expansionary spending is to restore the output of goods and services, the gross </w:t>
      </w:r>
      <w:r w:rsidR="007F622E">
        <w:t xml:space="preserve">domestic product, and more jobs. </w:t>
      </w:r>
      <w:r w:rsidR="00ED63CD">
        <w:t>A great example of fiscal policy in action was t</w:t>
      </w:r>
      <w:r w:rsidR="007F622E">
        <w:t>he passing of the current President’s fiscal policy in 2009 Stimulus package which combine government and tax cuts to help consumers get some kind of relief, encourage spending, create employment, and stimulate business producti</w:t>
      </w:r>
      <w:r w:rsidR="00ED63CD">
        <w:t xml:space="preserve">on </w:t>
      </w:r>
      <w:sdt>
        <w:sdtPr>
          <w:id w:val="-412703436"/>
          <w:citation/>
        </w:sdtPr>
        <w:sdtEndPr/>
        <w:sdtContent>
          <w:r w:rsidR="00ED63CD">
            <w:fldChar w:fldCharType="begin"/>
          </w:r>
          <w:r w:rsidR="00ED63CD">
            <w:instrText xml:space="preserve"> CITATION Eco122 \l 1033 </w:instrText>
          </w:r>
          <w:r w:rsidR="00ED63CD">
            <w:fldChar w:fldCharType="separate"/>
          </w:r>
          <w:r w:rsidR="00ED63CD">
            <w:rPr>
              <w:noProof/>
            </w:rPr>
            <w:t>(Economy 101, 2012)</w:t>
          </w:r>
          <w:r w:rsidR="00ED63CD">
            <w:fldChar w:fldCharType="end"/>
          </w:r>
        </w:sdtContent>
      </w:sdt>
      <w:r w:rsidR="00ED63CD">
        <w:t xml:space="preserve">. </w:t>
      </w:r>
    </w:p>
    <w:p w:rsidR="00941E8F" w:rsidRDefault="008B72EC" w:rsidP="00260622">
      <w:pPr>
        <w:spacing w:line="480" w:lineRule="auto"/>
      </w:pPr>
      <w:r>
        <w:tab/>
        <w:t xml:space="preserve">The current monetary policy of the United States is low short-term interest rates known as the federal funds rate </w:t>
      </w:r>
      <w:r w:rsidR="003277DC">
        <w:t xml:space="preserve">fell </w:t>
      </w:r>
      <w:r>
        <w:t xml:space="preserve">from 5 ¼ percent to nearly zero. </w:t>
      </w:r>
      <w:r w:rsidR="003277DC">
        <w:t>During the recession of December 2007 to June 2009, Indust</w:t>
      </w:r>
      <w:r w:rsidR="00260622">
        <w:t xml:space="preserve">rial production fell 17 percent and businesses were about two-thirds of their recovery production capacity. As far as unemployment goes, nearly 9 million jobs were lost and the employment rate rose from 5 percent to 10 percent. </w:t>
      </w:r>
      <w:r w:rsidR="00420B2B">
        <w:t xml:space="preserve">The </w:t>
      </w:r>
      <w:r w:rsidR="00EB616D">
        <w:t>focuses of the Federal Reserve were</w:t>
      </w:r>
      <w:r w:rsidR="00420B2B">
        <w:t xml:space="preserve"> to establish programs to provide liquidity to financial markets and get credit flowing again. The Federal Reserve also lowered longer-term interest rates by purchasing $1.7 trillion worth of mortgage-backed securities, government agency debt, and Treasury securities</w:t>
      </w:r>
      <w:r w:rsidR="00A86B6D">
        <w:t xml:space="preserve"> </w:t>
      </w:r>
      <w:sdt>
        <w:sdtPr>
          <w:id w:val="670376904"/>
          <w:citation/>
        </w:sdtPr>
        <w:sdtEndPr/>
        <w:sdtContent>
          <w:r w:rsidR="00A86B6D">
            <w:fldChar w:fldCharType="begin"/>
          </w:r>
          <w:r w:rsidR="00A86B6D">
            <w:instrText xml:space="preserve"> CITATION Cur121 \l 1033 </w:instrText>
          </w:r>
          <w:r w:rsidR="00A86B6D">
            <w:fldChar w:fldCharType="separate"/>
          </w:r>
          <w:r w:rsidR="00A86B6D">
            <w:rPr>
              <w:noProof/>
            </w:rPr>
            <w:t>(Current Issues in U.S. Monetary Policy, 2012)</w:t>
          </w:r>
          <w:r w:rsidR="00A86B6D">
            <w:fldChar w:fldCharType="end"/>
          </w:r>
        </w:sdtContent>
      </w:sdt>
      <w:r w:rsidR="00420B2B">
        <w:t xml:space="preserve">. </w:t>
      </w:r>
      <w:r w:rsidR="00A86B6D">
        <w:t xml:space="preserve">The current outlook for the U.S. economy is recovering at a gradual pace. </w:t>
      </w:r>
      <w:r w:rsidR="00670B6A">
        <w:t xml:space="preserve">The Gross Domestic Product, market value of final goods and services produced within </w:t>
      </w:r>
      <w:r w:rsidR="00B448E3">
        <w:t xml:space="preserve">the United States 2011 is at $15.094 trillion </w:t>
      </w:r>
      <w:sdt>
        <w:sdtPr>
          <w:id w:val="-289603879"/>
          <w:citation/>
        </w:sdtPr>
        <w:sdtEndPr/>
        <w:sdtContent>
          <w:r w:rsidR="00B448E3">
            <w:fldChar w:fldCharType="begin"/>
          </w:r>
          <w:r w:rsidR="00B448E3">
            <w:instrText xml:space="preserve"> CITATION Goo121 \l 1033 </w:instrText>
          </w:r>
          <w:r w:rsidR="00B448E3">
            <w:fldChar w:fldCharType="separate"/>
          </w:r>
          <w:r w:rsidR="00B448E3">
            <w:rPr>
              <w:noProof/>
            </w:rPr>
            <w:t>(Google Public Data, 2012)</w:t>
          </w:r>
          <w:r w:rsidR="00B448E3">
            <w:fldChar w:fldCharType="end"/>
          </w:r>
        </w:sdtContent>
      </w:sdt>
      <w:r w:rsidR="009E712E">
        <w:t>.</w:t>
      </w:r>
      <w:r w:rsidR="00670B6A">
        <w:t xml:space="preserve"> According to the Bureau of Labor Statistics, the employment rate decreased to </w:t>
      </w:r>
      <w:r w:rsidR="009668A8">
        <w:t xml:space="preserve">7.8 percent for September 2012 and a dramatic increase of employment in the health care, transportation, and warehousing industries </w:t>
      </w:r>
      <w:sdt>
        <w:sdtPr>
          <w:id w:val="931388716"/>
          <w:citation/>
        </w:sdtPr>
        <w:sdtEndPr/>
        <w:sdtContent>
          <w:r w:rsidR="009668A8">
            <w:fldChar w:fldCharType="begin"/>
          </w:r>
          <w:r w:rsidR="009668A8">
            <w:instrText xml:space="preserve"> CITATION Emp12 \l 1033 </w:instrText>
          </w:r>
          <w:r w:rsidR="009668A8">
            <w:fldChar w:fldCharType="separate"/>
          </w:r>
          <w:r w:rsidR="009668A8">
            <w:rPr>
              <w:noProof/>
            </w:rPr>
            <w:t>(Employment Situation Summary, 2012)</w:t>
          </w:r>
          <w:r w:rsidR="009668A8">
            <w:fldChar w:fldCharType="end"/>
          </w:r>
        </w:sdtContent>
      </w:sdt>
      <w:r w:rsidR="009668A8">
        <w:t xml:space="preserve">. </w:t>
      </w:r>
      <w:r w:rsidR="004B5007">
        <w:t>The pace of hiring seemed to have picked up which indi</w:t>
      </w:r>
      <w:r w:rsidR="00A94834">
        <w:t xml:space="preserve">cates the coming months there should be </w:t>
      </w:r>
      <w:r w:rsidR="00B77136">
        <w:t xml:space="preserve">more growth. The Semiconductor Industry Association (SIA), representing U.S. leadership in semiconductor manufacturing and design, </w:t>
      </w:r>
      <w:r w:rsidR="00B77136">
        <w:lastRenderedPageBreak/>
        <w:t xml:space="preserve">announced that worldwide sales of semiconductors reached $24.30 billion for the month of August 2012, a slight increase of 0.1 percent from the previous month when sales were $24.27 billion and a 3.2 percent decrease from the August 2011 total of $25.1 billion. Year-to-date sales reached $189.46 billion in August 2012, down 4.6 percent compared to the same time last year </w:t>
      </w:r>
      <w:sdt>
        <w:sdtPr>
          <w:id w:val="-676502207"/>
          <w:citation/>
        </w:sdtPr>
        <w:sdtEndPr/>
        <w:sdtContent>
          <w:r w:rsidR="00B77136">
            <w:fldChar w:fldCharType="begin"/>
          </w:r>
          <w:r w:rsidR="00B77136">
            <w:instrText xml:space="preserve"> CITATION Dan12 \l 1033 </w:instrText>
          </w:r>
          <w:r w:rsidR="00B77136">
            <w:fldChar w:fldCharType="separate"/>
          </w:r>
          <w:r w:rsidR="00B77136">
            <w:rPr>
              <w:noProof/>
            </w:rPr>
            <w:t>(Rosso, 2012)</w:t>
          </w:r>
          <w:r w:rsidR="00B77136">
            <w:fldChar w:fldCharType="end"/>
          </w:r>
        </w:sdtContent>
      </w:sdt>
      <w:r w:rsidR="00B77136">
        <w:t>.</w:t>
      </w:r>
      <w:r w:rsidR="00B96F82">
        <w:t xml:space="preserve"> </w:t>
      </w:r>
      <w:r w:rsidR="00F05E9A">
        <w:t>Stocks declined as the World Bank reduced its’ growth forecasts for East Asia and Pacific region because there were risks that the slowdown in China would last longer than originally forecasted</w:t>
      </w:r>
      <w:r w:rsidR="006475F4">
        <w:t xml:space="preserve"> </w:t>
      </w:r>
      <w:sdt>
        <w:sdtPr>
          <w:id w:val="-390736984"/>
          <w:citation/>
        </w:sdtPr>
        <w:sdtEndPr/>
        <w:sdtContent>
          <w:r w:rsidR="006475F4">
            <w:fldChar w:fldCharType="begin"/>
          </w:r>
          <w:r w:rsidR="006475F4">
            <w:instrText xml:space="preserve"> CITATION Mik12 \l 1033 </w:instrText>
          </w:r>
          <w:r w:rsidR="006475F4">
            <w:fldChar w:fldCharType="separate"/>
          </w:r>
          <w:r w:rsidR="006475F4">
            <w:rPr>
              <w:noProof/>
            </w:rPr>
            <w:t>(Mikolajczak, 2012)</w:t>
          </w:r>
          <w:r w:rsidR="006475F4">
            <w:fldChar w:fldCharType="end"/>
          </w:r>
        </w:sdtContent>
      </w:sdt>
      <w:r w:rsidR="00F05E9A">
        <w:t xml:space="preserve">. </w:t>
      </w:r>
    </w:p>
    <w:p w:rsidR="00836845" w:rsidRDefault="00836845" w:rsidP="00260622">
      <w:pPr>
        <w:spacing w:line="480" w:lineRule="auto"/>
        <w:rPr>
          <w:b/>
          <w:sz w:val="32"/>
        </w:rPr>
      </w:pPr>
    </w:p>
    <w:p w:rsidR="00836845" w:rsidRDefault="00836845" w:rsidP="00F111FB">
      <w:pPr>
        <w:jc w:val="center"/>
        <w:rPr>
          <w:b/>
          <w:sz w:val="32"/>
        </w:rPr>
      </w:pPr>
      <w:r w:rsidRPr="00787B46">
        <w:rPr>
          <w:noProof/>
          <w:sz w:val="36"/>
        </w:rPr>
        <mc:AlternateContent>
          <mc:Choice Requires="wps">
            <w:drawing>
              <wp:anchor distT="0" distB="0" distL="114300" distR="114300" simplePos="0" relativeHeight="251663360" behindDoc="0" locked="0" layoutInCell="1" allowOverlap="1" wp14:anchorId="55B4DF82" wp14:editId="16EF6CE6">
                <wp:simplePos x="0" y="0"/>
                <wp:positionH relativeFrom="margin">
                  <wp:align>center</wp:align>
                </wp:positionH>
                <wp:positionV relativeFrom="paragraph">
                  <wp:posOffset>-104775</wp:posOffset>
                </wp:positionV>
                <wp:extent cx="6400800" cy="1"/>
                <wp:effectExtent l="57150" t="38100" r="57150" b="95250"/>
                <wp:wrapNone/>
                <wp:docPr id="4" name="Straight Connector 4"/>
                <wp:cNvGraphicFramePr/>
                <a:graphic xmlns:a="http://schemas.openxmlformats.org/drawingml/2006/main">
                  <a:graphicData uri="http://schemas.microsoft.com/office/word/2010/wordprocessingShape">
                    <wps:wsp>
                      <wps:cNvCnPr/>
                      <wps:spPr>
                        <a:xfrm flipV="1">
                          <a:off x="0" y="0"/>
                          <a:ext cx="6400800" cy="1"/>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25pt" to="7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" strokecolor="#4f81bd" strokeweight="3pt">
                <v:shadow on="t" color="black" opacity="22937f" origin=",.5" offset="0,.63889mm"/>
                <w10:wrap anchorx="margin"/>
              </v:line>
            </w:pict>
          </mc:Fallback>
        </mc:AlternateContent>
      </w:r>
      <w:bookmarkStart w:id="2" w:name="_Toc337993502"/>
      <w:r w:rsidRPr="00C170C0">
        <w:rPr>
          <w:rStyle w:val="Heading1Char"/>
        </w:rPr>
        <w:t>Industry Analysis</w:t>
      </w:r>
      <w:bookmarkEnd w:id="2"/>
    </w:p>
    <w:p w:rsidR="002E2FB9" w:rsidRPr="002E2FB9" w:rsidRDefault="005B77E2" w:rsidP="00505603">
      <w:pPr>
        <w:pStyle w:val="NormalWeb"/>
        <w:spacing w:line="480" w:lineRule="auto"/>
        <w:rPr>
          <w:rFonts w:eastAsia="Times New Roman"/>
        </w:rPr>
      </w:pPr>
      <w:r>
        <w:tab/>
        <w:t xml:space="preserve">The semiconductor industry is highly competitive due to other </w:t>
      </w:r>
      <w:r w:rsidR="00077C75">
        <w:t>company’s</w:t>
      </w:r>
      <w:r>
        <w:t xml:space="preserve"> advancements toward smaller </w:t>
      </w:r>
      <w:r w:rsidR="001046B5">
        <w:t>chips containing more transistors at smaller</w:t>
      </w:r>
      <w:r w:rsidR="00077C75">
        <w:t xml:space="preserve"> size</w:t>
      </w:r>
      <w:r w:rsidR="001046B5">
        <w:t>, cheaper</w:t>
      </w:r>
      <w:r w:rsidR="00077C75">
        <w:t xml:space="preserve"> price</w:t>
      </w:r>
      <w:r w:rsidR="001046B5">
        <w:t>, and faster</w:t>
      </w:r>
      <w:r w:rsidR="00077C75">
        <w:t xml:space="preserve"> speed</w:t>
      </w:r>
      <w:r w:rsidR="001046B5">
        <w:t xml:space="preserve">. </w:t>
      </w:r>
      <w:r w:rsidR="00EE41CF">
        <w:t xml:space="preserve"> The S</w:t>
      </w:r>
      <w:r w:rsidR="00F0214D">
        <w:t>emiconductor Industry Association</w:t>
      </w:r>
      <w:r w:rsidR="00EE41CF">
        <w:t xml:space="preserve"> estimates that around 54% of revenue came from the Asia/Pacific region (excluding Japan), followed by the Americas with an 18% share, Japan with 15% </w:t>
      </w:r>
      <w:r w:rsidR="00D249BF">
        <w:t>and Europe the remaining 13%.</w:t>
      </w:r>
      <w:r w:rsidR="002E2FB9" w:rsidRPr="002E2FB9">
        <w:t xml:space="preserve"> </w:t>
      </w:r>
      <w:r w:rsidR="006B5EC5">
        <w:t>T</w:t>
      </w:r>
      <w:r w:rsidR="00D249BF">
        <w:t>he</w:t>
      </w:r>
      <w:r w:rsidR="002E2FB9">
        <w:t xml:space="preserve"> computing business is being driven by </w:t>
      </w:r>
      <w:r w:rsidR="006B5EC5">
        <w:t>Microsoft Corp’s Windows 7.</w:t>
      </w:r>
      <w:r w:rsidR="002E2FB9">
        <w:t xml:space="preserve"> Even with operating systems, such as </w:t>
      </w:r>
      <w:r w:rsidR="002E2FB9" w:rsidRPr="006B5EC5">
        <w:rPr>
          <w:rStyle w:val="Strong"/>
          <w:b w:val="0"/>
        </w:rPr>
        <w:t xml:space="preserve">Apple </w:t>
      </w:r>
      <w:r w:rsidR="006E661D" w:rsidRPr="006B5EC5">
        <w:rPr>
          <w:rStyle w:val="Strong"/>
          <w:b w:val="0"/>
        </w:rPr>
        <w:t>Inc.’s</w:t>
      </w:r>
      <w:r w:rsidR="002E2FB9">
        <w:rPr>
          <w:rStyle w:val="Strong"/>
        </w:rPr>
        <w:t xml:space="preserve"> </w:t>
      </w:r>
      <w:r w:rsidR="002E2FB9">
        <w:t>Macintosh platform gaining popularity, and cloud alternatives such as</w:t>
      </w:r>
      <w:r w:rsidR="002E2FB9">
        <w:rPr>
          <w:rStyle w:val="Strong"/>
        </w:rPr>
        <w:t xml:space="preserve"> </w:t>
      </w:r>
      <w:r w:rsidR="002E2FB9" w:rsidRPr="006B5EC5">
        <w:rPr>
          <w:rStyle w:val="Strong"/>
          <w:b w:val="0"/>
        </w:rPr>
        <w:t>Google Inc.’s</w:t>
      </w:r>
      <w:r w:rsidR="002E2FB9">
        <w:t xml:space="preserve"> Chrome coming to market, Windows 7 </w:t>
      </w:r>
      <w:r w:rsidR="0069257C">
        <w:t>adoption rates have been high.</w:t>
      </w:r>
      <w:r w:rsidR="006B5EC5">
        <w:t xml:space="preserve"> Apple’s</w:t>
      </w:r>
      <w:r w:rsidR="002E2FB9">
        <w:t xml:space="preserve"> success is a</w:t>
      </w:r>
      <w:r w:rsidR="006B5EC5">
        <w:t>lso a</w:t>
      </w:r>
      <w:r w:rsidR="002E2FB9">
        <w:t xml:space="preserve"> big driver, since the Macintosh OS runs on Apple devices al</w:t>
      </w:r>
      <w:r w:rsidR="006B5EC5">
        <w:t>one, which means more hardware and</w:t>
      </w:r>
      <w:r w:rsidR="002E2FB9">
        <w:t xml:space="preserve"> more semicondu</w:t>
      </w:r>
      <w:r w:rsidR="006E661D">
        <w:t>ctor devices being sold. Also,</w:t>
      </w:r>
      <w:r w:rsidR="002E2FB9">
        <w:t xml:space="preserve"> increased computerization in emerging markets such as China, India, Brazil and </w:t>
      </w:r>
      <w:r w:rsidR="006E661D">
        <w:t>Russia are also helping growth. T</w:t>
      </w:r>
      <w:r w:rsidR="002E2FB9">
        <w:t xml:space="preserve">he biggest driver of business is the growth in the data center segment, which has increased focus on servers, storage and networking equipment that consume semiconductors of the high-end variety. The cost advantages of moving to the cloud are encouraging many small and medium-sized businesses, as well as some large </w:t>
      </w:r>
      <w:r w:rsidR="002E2FB9">
        <w:lastRenderedPageBreak/>
        <w:t xml:space="preserve">organizations to transfer either a part or the whole of their operations to the cloud. </w:t>
      </w:r>
      <w:r w:rsidR="00FF6FF3">
        <w:t>The semiconductor industry should also see growth due to the c</w:t>
      </w:r>
      <w:r w:rsidR="00FF6FF3">
        <w:rPr>
          <w:rFonts w:eastAsia="Times New Roman"/>
        </w:rPr>
        <w:t xml:space="preserve">onsumer electronics market which includes </w:t>
      </w:r>
      <w:r w:rsidR="002E2FB9" w:rsidRPr="002E2FB9">
        <w:rPr>
          <w:rFonts w:eastAsia="Times New Roman"/>
        </w:rPr>
        <w:t>gadgets such as LCD TVs, Bl</w:t>
      </w:r>
      <w:r w:rsidR="00FF6FF3">
        <w:rPr>
          <w:rFonts w:eastAsia="Times New Roman"/>
        </w:rPr>
        <w:t>u-ray players and smartphones.</w:t>
      </w:r>
      <w:r w:rsidR="00632120">
        <w:rPr>
          <w:rFonts w:eastAsia="Times New Roman"/>
        </w:rPr>
        <w:t xml:space="preserve"> </w:t>
      </w:r>
      <w:r w:rsidR="002E2FB9" w:rsidRPr="002E2FB9">
        <w:rPr>
          <w:rFonts w:eastAsia="Times New Roman"/>
        </w:rPr>
        <w:t>Communications infrastructure spending is currently being driven by China and India. The SIA expects infrastructure spending in these geographies to remain the major driver of semiconductor sales.</w:t>
      </w:r>
      <w:r w:rsidR="00632120">
        <w:rPr>
          <w:rFonts w:eastAsia="Times New Roman"/>
        </w:rPr>
        <w:br/>
      </w:r>
      <w:r w:rsidR="002E2FB9" w:rsidRPr="002E2FB9">
        <w:rPr>
          <w:rFonts w:eastAsia="Times New Roman"/>
        </w:rPr>
        <w:t>Medical Devices is an upcoming area and semiconductors targeted at this market are begin</w:t>
      </w:r>
      <w:r w:rsidR="00304579">
        <w:rPr>
          <w:rFonts w:eastAsia="Times New Roman"/>
        </w:rPr>
        <w:t xml:space="preserve">ning to do well </w:t>
      </w:r>
      <w:sdt>
        <w:sdtPr>
          <w:rPr>
            <w:rFonts w:eastAsia="Times New Roman"/>
          </w:rPr>
          <w:id w:val="-1443839116"/>
          <w:citation/>
        </w:sdtPr>
        <w:sdtEndPr/>
        <w:sdtContent>
          <w:r w:rsidR="00304579">
            <w:rPr>
              <w:rFonts w:eastAsia="Times New Roman"/>
            </w:rPr>
            <w:fldChar w:fldCharType="begin"/>
          </w:r>
          <w:r w:rsidR="00304579">
            <w:rPr>
              <w:rFonts w:eastAsia="Times New Roman"/>
            </w:rPr>
            <w:instrText xml:space="preserve"> CITATION Sem12 \l 1033 </w:instrText>
          </w:r>
          <w:r w:rsidR="00304579">
            <w:rPr>
              <w:rFonts w:eastAsia="Times New Roman"/>
            </w:rPr>
            <w:fldChar w:fldCharType="separate"/>
          </w:r>
          <w:r w:rsidR="00304579" w:rsidRPr="00304579">
            <w:rPr>
              <w:rFonts w:eastAsia="Times New Roman"/>
              <w:noProof/>
            </w:rPr>
            <w:t>(Semiconductor Industry Outlook, 2012)</w:t>
          </w:r>
          <w:r w:rsidR="00304579">
            <w:rPr>
              <w:rFonts w:eastAsia="Times New Roman"/>
            </w:rPr>
            <w:fldChar w:fldCharType="end"/>
          </w:r>
        </w:sdtContent>
      </w:sdt>
      <w:r w:rsidR="00304579">
        <w:rPr>
          <w:rFonts w:eastAsia="Times New Roman"/>
        </w:rPr>
        <w:t>.</w:t>
      </w:r>
      <w:r w:rsidR="00997FF0" w:rsidRPr="002E2FB9">
        <w:rPr>
          <w:rFonts w:eastAsia="Times New Roman"/>
        </w:rPr>
        <w:t xml:space="preserve"> </w:t>
      </w:r>
      <w:r w:rsidR="00505603">
        <w:rPr>
          <w:rFonts w:eastAsia="Times New Roman"/>
        </w:rPr>
        <w:t xml:space="preserve">Even with fierce competition, the industry should see growth. </w:t>
      </w:r>
      <w:r w:rsidR="002E2FB9" w:rsidRPr="002E2FB9">
        <w:rPr>
          <w:rFonts w:eastAsia="Times New Roman"/>
        </w:rPr>
        <w:br/>
      </w:r>
      <w:hyperlink r:id="rId9" w:history="1">
        <w:r w:rsidR="002E2FB9" w:rsidRPr="002E2FB9">
          <w:rPr>
            <w:rFonts w:eastAsia="Times New Roman"/>
            <w:color w:val="FFFFFF"/>
            <w:u w:val="single"/>
          </w:rPr>
          <w:t>Close This Panel X</w:t>
        </w:r>
      </w:hyperlink>
      <w:r w:rsidR="002E2FB9" w:rsidRPr="002E2FB9">
        <w:rPr>
          <w:rFonts w:eastAsia="Times New Roman"/>
        </w:rPr>
        <w:t xml:space="preserve"> </w:t>
      </w:r>
    </w:p>
    <w:p w:rsidR="007951E9" w:rsidRDefault="00836845" w:rsidP="00F111FB">
      <w:pPr>
        <w:jc w:val="center"/>
        <w:rPr>
          <w:b/>
          <w:sz w:val="32"/>
        </w:rPr>
      </w:pPr>
      <w:r w:rsidRPr="00787B46">
        <w:rPr>
          <w:noProof/>
          <w:sz w:val="36"/>
        </w:rPr>
        <mc:AlternateContent>
          <mc:Choice Requires="wps">
            <w:drawing>
              <wp:anchor distT="0" distB="0" distL="114300" distR="114300" simplePos="0" relativeHeight="251665408" behindDoc="0" locked="0" layoutInCell="1" allowOverlap="1" wp14:anchorId="7A3171E4" wp14:editId="55EB3CD3">
                <wp:simplePos x="0" y="0"/>
                <wp:positionH relativeFrom="margin">
                  <wp:align>center</wp:align>
                </wp:positionH>
                <wp:positionV relativeFrom="paragraph">
                  <wp:posOffset>-133350</wp:posOffset>
                </wp:positionV>
                <wp:extent cx="6610350" cy="1"/>
                <wp:effectExtent l="57150" t="38100" r="57150" b="95250"/>
                <wp:wrapNone/>
                <wp:docPr id="6" name="Straight Connector 6"/>
                <wp:cNvGraphicFramePr/>
                <a:graphic xmlns:a="http://schemas.openxmlformats.org/drawingml/2006/main">
                  <a:graphicData uri="http://schemas.microsoft.com/office/word/2010/wordprocessingShape">
                    <wps:wsp>
                      <wps:cNvCnPr/>
                      <wps:spPr>
                        <a:xfrm flipV="1">
                          <a:off x="0" y="0"/>
                          <a:ext cx="6610350" cy="1"/>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id="Straight Connector 6" o:spid="_x0000_s1026" style="position:absolute;flip:y;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0.5pt" to="5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" strokecolor="#4f81bd" strokeweight="3pt">
                <v:shadow on="t" color="black" opacity="22937f" origin=",.5" offset="0,.63889mm"/>
                <w10:wrap anchorx="margin"/>
              </v:line>
            </w:pict>
          </mc:Fallback>
        </mc:AlternateContent>
      </w:r>
      <w:bookmarkStart w:id="3" w:name="_Toc337993503"/>
      <w:r w:rsidR="00D569CB" w:rsidRPr="00C170C0">
        <w:rPr>
          <w:rStyle w:val="Heading1Char"/>
        </w:rPr>
        <w:t>Financial Analysis</w:t>
      </w:r>
      <w:bookmarkEnd w:id="3"/>
    </w:p>
    <w:p w:rsidR="00617EBB" w:rsidRPr="00D64708" w:rsidRDefault="00514CC0" w:rsidP="00617EBB">
      <w:pPr>
        <w:jc w:val="center"/>
        <w:rPr>
          <w:b/>
        </w:rPr>
      </w:pPr>
      <w:r w:rsidRPr="00D64708">
        <w:rPr>
          <w:b/>
        </w:rPr>
        <w:t xml:space="preserve">Dividend </w:t>
      </w:r>
      <w:r w:rsidR="00617EBB" w:rsidRPr="00D64708">
        <w:rPr>
          <w:b/>
        </w:rPr>
        <w:t>Valuation Model</w:t>
      </w:r>
    </w:p>
    <w:p w:rsidR="00B9198A" w:rsidRDefault="005F7433" w:rsidP="00B9198A">
      <w:pPr>
        <w:rPr>
          <w:b/>
          <w:sz w:val="32"/>
        </w:rPr>
      </w:pPr>
      <w:r>
        <w:rPr>
          <w:b/>
          <w:noProof/>
          <w:sz w:val="32"/>
        </w:rPr>
        <w:drawing>
          <wp:inline distT="0" distB="0" distL="0" distR="0" wp14:anchorId="3C895460" wp14:editId="7B76CC06">
            <wp:extent cx="5930777"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02977.tmp"/>
                    <pic:cNvPicPr/>
                  </pic:nvPicPr>
                  <pic:blipFill rotWithShape="1">
                    <a:blip r:embed="rId10">
                      <a:extLst>
                        <a:ext uri="{28A0092B-C50C-407E-A947-70E740481C1C}">
                          <a14:useLocalDpi xmlns:a14="http://schemas.microsoft.com/office/drawing/2010/main" val="0"/>
                        </a:ext>
                      </a:extLst>
                    </a:blip>
                    <a:srcRect t="4865"/>
                    <a:stretch/>
                  </pic:blipFill>
                  <pic:spPr bwMode="auto">
                    <a:xfrm>
                      <a:off x="0" y="0"/>
                      <a:ext cx="5943600" cy="1680025"/>
                    </a:xfrm>
                    <a:prstGeom prst="rect">
                      <a:avLst/>
                    </a:prstGeom>
                    <a:ln>
                      <a:noFill/>
                    </a:ln>
                    <a:extLst>
                      <a:ext uri="{53640926-AAD7-44D8-BBD7-CCE9431645EC}">
                        <a14:shadowObscured xmlns:a14="http://schemas.microsoft.com/office/drawing/2010/main"/>
                      </a:ext>
                    </a:extLst>
                  </pic:spPr>
                </pic:pic>
              </a:graphicData>
            </a:graphic>
          </wp:inline>
        </w:drawing>
      </w:r>
    </w:p>
    <w:p w:rsidR="00B9198A" w:rsidRDefault="005F7433" w:rsidP="005F7433">
      <w:r>
        <w:rPr>
          <w:b/>
          <w:sz w:val="32"/>
        </w:rPr>
        <w:t>P</w:t>
      </w:r>
      <w:r>
        <w:rPr>
          <w:sz w:val="32"/>
          <w:vertAlign w:val="subscript"/>
        </w:rPr>
        <w:t>0</w:t>
      </w:r>
      <w:r>
        <w:rPr>
          <w:sz w:val="32"/>
        </w:rPr>
        <w:t xml:space="preserve">= </w:t>
      </w:r>
      <w:r>
        <w:t>$21.76</w:t>
      </w:r>
    </w:p>
    <w:p w:rsidR="005F7433" w:rsidRPr="00101359" w:rsidRDefault="005F7433" w:rsidP="005F7433">
      <w:r>
        <w:t>D</w:t>
      </w:r>
      <w:r>
        <w:rPr>
          <w:vertAlign w:val="subscript"/>
        </w:rPr>
        <w:t>1</w:t>
      </w:r>
      <w:r w:rsidR="00CF7C56">
        <w:rPr>
          <w:vertAlign w:val="subscript"/>
        </w:rPr>
        <w:t xml:space="preserve"> </w:t>
      </w:r>
      <w:r>
        <w:rPr>
          <w:vertAlign w:val="subscript"/>
        </w:rPr>
        <w:t xml:space="preserve"> = </w:t>
      </w:r>
      <w:r w:rsidR="00101359">
        <w:rPr>
          <w:vertAlign w:val="subscript"/>
        </w:rPr>
        <w:t xml:space="preserve"> </w:t>
      </w:r>
      <w:r w:rsidR="00101359">
        <w:t>Dividend for each year</w:t>
      </w:r>
    </w:p>
    <w:p w:rsidR="005F7433" w:rsidRDefault="005F7433" w:rsidP="005F7433">
      <w:r>
        <w:t>K</w:t>
      </w:r>
      <w:r>
        <w:rPr>
          <w:vertAlign w:val="subscript"/>
        </w:rPr>
        <w:t>e</w:t>
      </w:r>
      <w:r>
        <w:t>=13.47% (required rate of return)</w:t>
      </w:r>
    </w:p>
    <w:p w:rsidR="00101359" w:rsidRDefault="00101359" w:rsidP="005F7433">
      <w:r>
        <w:rPr>
          <w:noProof/>
        </w:rPr>
        <w:lastRenderedPageBreak/>
        <w:drawing>
          <wp:inline distT="0" distB="0" distL="0" distR="0" wp14:anchorId="177E0AA0" wp14:editId="596A6D1F">
            <wp:extent cx="5943600" cy="2327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04284.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327910"/>
                    </a:xfrm>
                    <a:prstGeom prst="rect">
                      <a:avLst/>
                    </a:prstGeom>
                  </pic:spPr>
                </pic:pic>
              </a:graphicData>
            </a:graphic>
          </wp:inline>
        </w:drawing>
      </w:r>
    </w:p>
    <w:p w:rsidR="00CF7C56" w:rsidRDefault="008C5188" w:rsidP="005F7433">
      <w:sdt>
        <w:sdtPr>
          <w:id w:val="-1869290942"/>
          <w:citation/>
        </w:sdtPr>
        <w:sdtEndPr/>
        <w:sdtContent>
          <w:r w:rsidR="00CF7C56">
            <w:fldChar w:fldCharType="begin"/>
          </w:r>
          <w:r w:rsidR="00CF7C56">
            <w:instrText xml:space="preserve"> CITATION Int122 \l 1033 </w:instrText>
          </w:r>
          <w:r w:rsidR="00CF7C56">
            <w:fldChar w:fldCharType="separate"/>
          </w:r>
          <w:r w:rsidR="00CF7C56">
            <w:rPr>
              <w:noProof/>
            </w:rPr>
            <w:t>(Intel Corp. Dividend Discount Model, 2012)</w:t>
          </w:r>
          <w:r w:rsidR="00CF7C56">
            <w:fldChar w:fldCharType="end"/>
          </w:r>
        </w:sdtContent>
      </w:sdt>
    </w:p>
    <w:p w:rsidR="00101359" w:rsidRPr="005F7433" w:rsidRDefault="00101359" w:rsidP="005F7433">
      <w:r>
        <w:rPr>
          <w:noProof/>
        </w:rPr>
        <w:drawing>
          <wp:inline distT="0" distB="0" distL="0" distR="0" wp14:anchorId="62E925A9" wp14:editId="2556B7B6">
            <wp:extent cx="5943600" cy="2981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0A685.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2981325"/>
                    </a:xfrm>
                    <a:prstGeom prst="rect">
                      <a:avLst/>
                    </a:prstGeom>
                  </pic:spPr>
                </pic:pic>
              </a:graphicData>
            </a:graphic>
          </wp:inline>
        </w:drawing>
      </w:r>
    </w:p>
    <w:p w:rsidR="00B9198A" w:rsidRPr="00CF7C56" w:rsidRDefault="008C5188" w:rsidP="00F111FB">
      <w:pPr>
        <w:jc w:val="center"/>
        <w:rPr>
          <w:b/>
        </w:rPr>
      </w:pPr>
      <w:sdt>
        <w:sdtPr>
          <w:rPr>
            <w:b/>
          </w:rPr>
          <w:id w:val="1490291424"/>
          <w:citation/>
        </w:sdtPr>
        <w:sdtEndPr/>
        <w:sdtContent>
          <w:r w:rsidR="00CF7C56" w:rsidRPr="00CF7C56">
            <w:rPr>
              <w:b/>
            </w:rPr>
            <w:fldChar w:fldCharType="begin"/>
          </w:r>
          <w:r w:rsidR="00CF7C56" w:rsidRPr="00CF7C56">
            <w:rPr>
              <w:b/>
            </w:rPr>
            <w:instrText xml:space="preserve"> CITATION Int122 \l 1033 </w:instrText>
          </w:r>
          <w:r w:rsidR="00CF7C56" w:rsidRPr="00CF7C56">
            <w:rPr>
              <w:b/>
            </w:rPr>
            <w:fldChar w:fldCharType="separate"/>
          </w:r>
          <w:r w:rsidR="00CF7C56" w:rsidRPr="00CF7C56">
            <w:rPr>
              <w:noProof/>
            </w:rPr>
            <w:t>(Intel Corp. Dividend Discount Model, 2012)</w:t>
          </w:r>
          <w:r w:rsidR="00CF7C56" w:rsidRPr="00CF7C56">
            <w:rPr>
              <w:b/>
            </w:rPr>
            <w:fldChar w:fldCharType="end"/>
          </w:r>
        </w:sdtContent>
      </w:sdt>
    </w:p>
    <w:p w:rsidR="00B9198A" w:rsidRDefault="00B52643" w:rsidP="00F111FB">
      <w:pPr>
        <w:jc w:val="center"/>
        <w:rPr>
          <w:b/>
          <w:sz w:val="32"/>
        </w:rPr>
      </w:pPr>
      <w:r>
        <w:rPr>
          <w:b/>
          <w:noProof/>
          <w:sz w:val="32"/>
        </w:rPr>
        <w:drawing>
          <wp:inline distT="0" distB="0" distL="0" distR="0" wp14:anchorId="0AD28980" wp14:editId="49F1B8CF">
            <wp:extent cx="4772025" cy="16287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0589F.tmp"/>
                    <pic:cNvPicPr/>
                  </pic:nvPicPr>
                  <pic:blipFill rotWithShape="1">
                    <a:blip r:embed="rId13">
                      <a:extLst>
                        <a:ext uri="{28A0092B-C50C-407E-A947-70E740481C1C}">
                          <a14:useLocalDpi xmlns:a14="http://schemas.microsoft.com/office/drawing/2010/main" val="0"/>
                        </a:ext>
                      </a:extLst>
                    </a:blip>
                    <a:srcRect l="2529"/>
                    <a:stretch/>
                  </pic:blipFill>
                  <pic:spPr bwMode="auto">
                    <a:xfrm>
                      <a:off x="0" y="0"/>
                      <a:ext cx="4772692" cy="1629002"/>
                    </a:xfrm>
                    <a:prstGeom prst="rect">
                      <a:avLst/>
                    </a:prstGeom>
                    <a:ln>
                      <a:noFill/>
                    </a:ln>
                    <a:extLst>
                      <a:ext uri="{53640926-AAD7-44D8-BBD7-CCE9431645EC}">
                        <a14:shadowObscured xmlns:a14="http://schemas.microsoft.com/office/drawing/2010/main"/>
                      </a:ext>
                    </a:extLst>
                  </pic:spPr>
                </pic:pic>
              </a:graphicData>
            </a:graphic>
          </wp:inline>
        </w:drawing>
      </w:r>
    </w:p>
    <w:p w:rsidR="00B52643" w:rsidRDefault="008C5188" w:rsidP="00F111FB">
      <w:pPr>
        <w:jc w:val="center"/>
        <w:rPr>
          <w:b/>
        </w:rPr>
      </w:pPr>
      <w:sdt>
        <w:sdtPr>
          <w:rPr>
            <w:b/>
            <w:sz w:val="32"/>
          </w:rPr>
          <w:id w:val="-1458177553"/>
          <w:citation/>
        </w:sdtPr>
        <w:sdtEndPr>
          <w:rPr>
            <w:sz w:val="24"/>
          </w:rPr>
        </w:sdtEndPr>
        <w:sdtContent>
          <w:r w:rsidR="00B52643" w:rsidRPr="00B52643">
            <w:rPr>
              <w:b/>
            </w:rPr>
            <w:fldChar w:fldCharType="begin"/>
          </w:r>
          <w:r w:rsidR="00B52643" w:rsidRPr="00B52643">
            <w:rPr>
              <w:b/>
            </w:rPr>
            <w:instrText xml:space="preserve"> CITATION Int122 \l 1033 </w:instrText>
          </w:r>
          <w:r w:rsidR="00B52643" w:rsidRPr="00B52643">
            <w:rPr>
              <w:b/>
            </w:rPr>
            <w:fldChar w:fldCharType="separate"/>
          </w:r>
          <w:r w:rsidR="00B52643" w:rsidRPr="00B52643">
            <w:rPr>
              <w:noProof/>
            </w:rPr>
            <w:t>(Intel Corp. Dividend Discount Model, 2012)</w:t>
          </w:r>
          <w:r w:rsidR="00B52643" w:rsidRPr="00B52643">
            <w:rPr>
              <w:b/>
            </w:rPr>
            <w:fldChar w:fldCharType="end"/>
          </w:r>
        </w:sdtContent>
      </w:sdt>
    </w:p>
    <w:p w:rsidR="00B52643" w:rsidRPr="00B52643" w:rsidRDefault="00B52643" w:rsidP="00F111FB">
      <w:pPr>
        <w:jc w:val="center"/>
        <w:rPr>
          <w:b/>
        </w:rPr>
      </w:pPr>
    </w:p>
    <w:p w:rsidR="00B9198A" w:rsidRPr="00BE5441" w:rsidRDefault="00BE5441" w:rsidP="00FE2B1D">
      <w:pPr>
        <w:spacing w:line="480" w:lineRule="auto"/>
      </w:pPr>
      <w:r>
        <w:lastRenderedPageBreak/>
        <w:t>According to Intel’</w:t>
      </w:r>
      <w:r w:rsidR="003A6990">
        <w:t>s dividend valuation,</w:t>
      </w:r>
      <w:r>
        <w:t xml:space="preserve"> the company has a required rate of return at 13.47 percent and its’ current stock price is $21.76</w:t>
      </w:r>
      <w:r w:rsidR="003A6990">
        <w:t xml:space="preserve"> with Earnings </w:t>
      </w:r>
      <w:r w:rsidR="00CC3A76">
        <w:t>per</w:t>
      </w:r>
      <w:r w:rsidR="003A6990">
        <w:t xml:space="preserve"> Share at $2.39</w:t>
      </w:r>
      <w:r>
        <w:t>.</w:t>
      </w:r>
    </w:p>
    <w:p w:rsidR="00B9198A" w:rsidRDefault="00B9198A" w:rsidP="00E37948"/>
    <w:p w:rsidR="00E37948" w:rsidRPr="00B02AE4" w:rsidRDefault="00B02AE4" w:rsidP="00B02AE4">
      <w:pPr>
        <w:jc w:val="center"/>
        <w:rPr>
          <w:b/>
          <w:sz w:val="32"/>
          <w:szCs w:val="32"/>
        </w:rPr>
      </w:pPr>
      <w:r w:rsidRPr="00B02AE4">
        <w:rPr>
          <w:b/>
          <w:sz w:val="32"/>
          <w:szCs w:val="32"/>
        </w:rPr>
        <w:t>Earnings Valuation Model</w:t>
      </w:r>
    </w:p>
    <w:p w:rsidR="009960F5" w:rsidRPr="00B02AE4" w:rsidRDefault="009960F5" w:rsidP="00F111FB">
      <w:pPr>
        <w:jc w:val="center"/>
        <w:rPr>
          <w:b/>
        </w:rPr>
      </w:pPr>
      <w:r w:rsidRPr="00B02AE4">
        <w:rPr>
          <w:b/>
        </w:rPr>
        <w:t>Present value of dividends for the next 2 years</w:t>
      </w:r>
    </w:p>
    <w:tbl>
      <w:tblPr>
        <w:tblStyle w:val="LightShading-Accent1"/>
        <w:tblW w:w="10056" w:type="dxa"/>
        <w:tblLook w:val="0480" w:firstRow="0" w:lastRow="0" w:firstColumn="1" w:lastColumn="0" w:noHBand="0" w:noVBand="1"/>
      </w:tblPr>
      <w:tblGrid>
        <w:gridCol w:w="724"/>
        <w:gridCol w:w="3443"/>
        <w:gridCol w:w="1401"/>
        <w:gridCol w:w="1235"/>
        <w:gridCol w:w="2023"/>
        <w:gridCol w:w="1230"/>
      </w:tblGrid>
      <w:tr w:rsidR="00EB54D4" w:rsidTr="00A62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rsidR="007E0737" w:rsidRPr="008578FB" w:rsidRDefault="007E0737" w:rsidP="00F111FB">
            <w:pPr>
              <w:jc w:val="center"/>
            </w:pPr>
            <w:r w:rsidRPr="008578FB">
              <w:t>Year</w:t>
            </w:r>
          </w:p>
        </w:tc>
        <w:tc>
          <w:tcPr>
            <w:tcW w:w="1836" w:type="dxa"/>
          </w:tcPr>
          <w:p w:rsidR="007E0737" w:rsidRPr="008578FB" w:rsidRDefault="007E0737" w:rsidP="008578FB">
            <w:pPr>
              <w:cnfStyle w:val="000000100000" w:firstRow="0" w:lastRow="0" w:firstColumn="0" w:lastColumn="0" w:oddVBand="0" w:evenVBand="0" w:oddHBand="1" w:evenHBand="0" w:firstRowFirstColumn="0" w:firstRowLastColumn="0" w:lastRowFirstColumn="0" w:lastRowLastColumn="0"/>
            </w:pPr>
            <w:r w:rsidRPr="008578FB">
              <w:t>Estimated Earnings Per Share</w:t>
            </w:r>
          </w:p>
        </w:tc>
        <w:tc>
          <w:tcPr>
            <w:tcW w:w="1864" w:type="dxa"/>
          </w:tcPr>
          <w:p w:rsidR="007E0737" w:rsidRPr="008578FB" w:rsidRDefault="007E0737" w:rsidP="008578FB">
            <w:pPr>
              <w:cnfStyle w:val="000000100000" w:firstRow="0" w:lastRow="0" w:firstColumn="0" w:lastColumn="0" w:oddVBand="0" w:evenVBand="0" w:oddHBand="1" w:evenHBand="0" w:firstRowFirstColumn="0" w:firstRowLastColumn="0" w:lastRowFirstColumn="0" w:lastRowLastColumn="0"/>
            </w:pPr>
            <w:r w:rsidRPr="008578FB">
              <w:t>Estimated Payout Ratio</w:t>
            </w:r>
          </w:p>
        </w:tc>
        <w:tc>
          <w:tcPr>
            <w:tcW w:w="1844" w:type="dxa"/>
          </w:tcPr>
          <w:p w:rsidR="007E0737" w:rsidRPr="008578FB" w:rsidRDefault="007E0737" w:rsidP="008578FB">
            <w:pPr>
              <w:cnfStyle w:val="000000100000" w:firstRow="0" w:lastRow="0" w:firstColumn="0" w:lastColumn="0" w:oddVBand="0" w:evenVBand="0" w:oddHBand="1" w:evenHBand="0" w:firstRowFirstColumn="0" w:firstRowLastColumn="0" w:lastRowFirstColumn="0" w:lastRowLastColumn="0"/>
            </w:pPr>
            <w:r w:rsidRPr="008578FB">
              <w:t>Estimated Dividends per Share</w:t>
            </w:r>
          </w:p>
        </w:tc>
        <w:tc>
          <w:tcPr>
            <w:tcW w:w="2023" w:type="dxa"/>
          </w:tcPr>
          <w:p w:rsidR="007E0737" w:rsidRPr="008578FB" w:rsidRDefault="007E0737" w:rsidP="008578FB">
            <w:pPr>
              <w:cnfStyle w:val="000000100000" w:firstRow="0" w:lastRow="0" w:firstColumn="0" w:lastColumn="0" w:oddVBand="0" w:evenVBand="0" w:oddHBand="1" w:evenHBand="0" w:firstRowFirstColumn="0" w:firstRowLastColumn="0" w:lastRowFirstColumn="0" w:lastRowLastColumn="0"/>
            </w:pPr>
            <w:r w:rsidRPr="008578FB">
              <w:t>Present Value Factor at K</w:t>
            </w:r>
            <w:r w:rsidRPr="008578FB">
              <w:rPr>
                <w:vertAlign w:val="subscript"/>
              </w:rPr>
              <w:t>e</w:t>
            </w:r>
            <w:r w:rsidRPr="008578FB">
              <w:t xml:space="preserve"> =</w:t>
            </w:r>
            <w:r w:rsidR="008578FB" w:rsidRPr="008578FB">
              <w:t xml:space="preserve"> 13.47</w:t>
            </w:r>
            <w:r w:rsidR="003A6990">
              <w:t>%</w:t>
            </w:r>
            <w:r w:rsidR="00BD72EC">
              <w:t xml:space="preserve"> (13%)</w:t>
            </w:r>
          </w:p>
        </w:tc>
        <w:tc>
          <w:tcPr>
            <w:tcW w:w="1746" w:type="dxa"/>
          </w:tcPr>
          <w:p w:rsidR="007E0737" w:rsidRPr="008578FB" w:rsidRDefault="008578FB" w:rsidP="00F111FB">
            <w:pPr>
              <w:jc w:val="center"/>
              <w:cnfStyle w:val="000000100000" w:firstRow="0" w:lastRow="0" w:firstColumn="0" w:lastColumn="0" w:oddVBand="0" w:evenVBand="0" w:oddHBand="1" w:evenHBand="0" w:firstRowFirstColumn="0" w:firstRowLastColumn="0" w:lastRowFirstColumn="0" w:lastRowLastColumn="0"/>
            </w:pPr>
            <w:r>
              <w:t>Present Value of Cash Flows from Dividends</w:t>
            </w:r>
          </w:p>
        </w:tc>
      </w:tr>
      <w:tr w:rsidR="00EB54D4" w:rsidTr="00A62671">
        <w:tc>
          <w:tcPr>
            <w:cnfStyle w:val="001000000000" w:firstRow="0" w:lastRow="0" w:firstColumn="1" w:lastColumn="0" w:oddVBand="0" w:evenVBand="0" w:oddHBand="0" w:evenHBand="0" w:firstRowFirstColumn="0" w:firstRowLastColumn="0" w:lastRowFirstColumn="0" w:lastRowLastColumn="0"/>
            <w:tcW w:w="743" w:type="dxa"/>
          </w:tcPr>
          <w:p w:rsidR="007E0737" w:rsidRPr="0036291D" w:rsidRDefault="0036291D" w:rsidP="00F111FB">
            <w:pPr>
              <w:jc w:val="center"/>
            </w:pPr>
            <w:r>
              <w:t>2012</w:t>
            </w:r>
          </w:p>
        </w:tc>
        <w:tc>
          <w:tcPr>
            <w:tcW w:w="1836" w:type="dxa"/>
          </w:tcPr>
          <w:p w:rsidR="007E0737" w:rsidRPr="007E0C95" w:rsidRDefault="007E0C95" w:rsidP="00F111FB">
            <w:pPr>
              <w:jc w:val="center"/>
              <w:cnfStyle w:val="000000000000" w:firstRow="0" w:lastRow="0" w:firstColumn="0" w:lastColumn="0" w:oddVBand="0" w:evenVBand="0" w:oddHBand="0" w:evenHBand="0" w:firstRowFirstColumn="0" w:firstRowLastColumn="0" w:lastRowFirstColumn="0" w:lastRowLastColumn="0"/>
            </w:pPr>
            <w:r>
              <w:t>$2.39</w:t>
            </w:r>
          </w:p>
        </w:tc>
        <w:tc>
          <w:tcPr>
            <w:tcW w:w="1864" w:type="dxa"/>
          </w:tcPr>
          <w:p w:rsidR="007E0737" w:rsidRPr="007E0C95" w:rsidRDefault="007E0C95" w:rsidP="00F111FB">
            <w:pPr>
              <w:jc w:val="center"/>
              <w:cnfStyle w:val="000000000000" w:firstRow="0" w:lastRow="0" w:firstColumn="0" w:lastColumn="0" w:oddVBand="0" w:evenVBand="0" w:oddHBand="0" w:evenHBand="0" w:firstRowFirstColumn="0" w:firstRowLastColumn="0" w:lastRowFirstColumn="0" w:lastRowLastColumn="0"/>
            </w:pPr>
            <w:r>
              <w:t>33%</w:t>
            </w:r>
            <w:sdt>
              <w:sdtPr>
                <w:id w:val="1596138271"/>
                <w:citation/>
              </w:sdtPr>
              <w:sdtEndPr/>
              <w:sdtContent>
                <w:r w:rsidR="001234AA">
                  <w:fldChar w:fldCharType="begin"/>
                </w:r>
                <w:r w:rsidR="00C129B3">
                  <w:instrText xml:space="preserve">CITATION ADV12 \l 1033 </w:instrText>
                </w:r>
                <w:r w:rsidR="001234AA">
                  <w:fldChar w:fldCharType="separate"/>
                </w:r>
                <w:r w:rsidR="00C129B3">
                  <w:rPr>
                    <w:noProof/>
                  </w:rPr>
                  <w:t xml:space="preserve"> (advfn.com, 2012)</w:t>
                </w:r>
                <w:r w:rsidR="001234AA">
                  <w:fldChar w:fldCharType="end"/>
                </w:r>
              </w:sdtContent>
            </w:sdt>
          </w:p>
        </w:tc>
        <w:tc>
          <w:tcPr>
            <w:tcW w:w="1844" w:type="dxa"/>
          </w:tcPr>
          <w:p w:rsidR="007E0737" w:rsidRPr="007E0C95" w:rsidRDefault="007E0C95" w:rsidP="00F111FB">
            <w:pPr>
              <w:jc w:val="center"/>
              <w:cnfStyle w:val="000000000000" w:firstRow="0" w:lastRow="0" w:firstColumn="0" w:lastColumn="0" w:oddVBand="0" w:evenVBand="0" w:oddHBand="0" w:evenHBand="0" w:firstRowFirstColumn="0" w:firstRowLastColumn="0" w:lastRowFirstColumn="0" w:lastRowLastColumn="0"/>
            </w:pPr>
            <w:r>
              <w:t>$0.7887</w:t>
            </w:r>
          </w:p>
        </w:tc>
        <w:tc>
          <w:tcPr>
            <w:tcW w:w="2023" w:type="dxa"/>
          </w:tcPr>
          <w:p w:rsidR="007E0737" w:rsidRPr="007E0C95" w:rsidRDefault="00BD72EC" w:rsidP="00F111FB">
            <w:pPr>
              <w:jc w:val="center"/>
              <w:cnfStyle w:val="000000000000" w:firstRow="0" w:lastRow="0" w:firstColumn="0" w:lastColumn="0" w:oddVBand="0" w:evenVBand="0" w:oddHBand="0" w:evenHBand="0" w:firstRowFirstColumn="0" w:firstRowLastColumn="0" w:lastRowFirstColumn="0" w:lastRowLastColumn="0"/>
            </w:pPr>
            <w:r>
              <w:t>0.885(APPENDIX D)</w:t>
            </w:r>
          </w:p>
        </w:tc>
        <w:tc>
          <w:tcPr>
            <w:tcW w:w="1746" w:type="dxa"/>
          </w:tcPr>
          <w:p w:rsidR="007E0737" w:rsidRPr="00BD72EC" w:rsidRDefault="00BD72EC" w:rsidP="00F111FB">
            <w:pPr>
              <w:jc w:val="center"/>
              <w:cnfStyle w:val="000000000000" w:firstRow="0" w:lastRow="0" w:firstColumn="0" w:lastColumn="0" w:oddVBand="0" w:evenVBand="0" w:oddHBand="0" w:evenHBand="0" w:firstRowFirstColumn="0" w:firstRowLastColumn="0" w:lastRowFirstColumn="0" w:lastRowLastColumn="0"/>
            </w:pPr>
            <w:r>
              <w:t>0.698</w:t>
            </w:r>
          </w:p>
        </w:tc>
      </w:tr>
      <w:tr w:rsidR="00EB54D4" w:rsidTr="00A62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rsidR="007E0737" w:rsidRPr="0036291D" w:rsidRDefault="0036291D" w:rsidP="00F111FB">
            <w:pPr>
              <w:jc w:val="center"/>
            </w:pPr>
            <w:r>
              <w:t>2013</w:t>
            </w:r>
          </w:p>
        </w:tc>
        <w:tc>
          <w:tcPr>
            <w:tcW w:w="1836" w:type="dxa"/>
          </w:tcPr>
          <w:p w:rsidR="00995FB2" w:rsidRDefault="00995FB2" w:rsidP="00995FB2">
            <w:pPr>
              <w:jc w:val="center"/>
              <w:cnfStyle w:val="000000100000" w:firstRow="0" w:lastRow="0" w:firstColumn="0" w:lastColumn="0" w:oddVBand="0" w:evenVBand="0" w:oddHBand="1" w:evenHBand="0" w:firstRowFirstColumn="0" w:firstRowLastColumn="0" w:lastRowFirstColumn="0" w:lastRowLastColumn="0"/>
            </w:pPr>
            <w:r>
              <w:t>2.39*.</w:t>
            </w:r>
            <w:r w:rsidR="00EB54D4">
              <w:t>0</w:t>
            </w:r>
            <w:r>
              <w:t>953=</w:t>
            </w:r>
            <w:r w:rsidR="00EB54D4">
              <w:t>.227767+2.39=2.618</w:t>
            </w:r>
            <w:r>
              <w:t xml:space="preserve"> </w:t>
            </w:r>
            <w:sdt>
              <w:sdtPr>
                <w:id w:val="-935587554"/>
                <w:citation/>
              </w:sdtPr>
              <w:sdtEndPr/>
              <w:sdtContent>
                <w:r>
                  <w:fldChar w:fldCharType="begin"/>
                </w:r>
                <w:r>
                  <w:instrText xml:space="preserve"> CITATION Yah124 \l 1033 </w:instrText>
                </w:r>
                <w:r>
                  <w:fldChar w:fldCharType="separate"/>
                </w:r>
                <w:r>
                  <w:rPr>
                    <w:noProof/>
                  </w:rPr>
                  <w:t xml:space="preserve"> (Yahoo!Finance, 2012)</w:t>
                </w:r>
                <w:r>
                  <w:fldChar w:fldCharType="end"/>
                </w:r>
              </w:sdtContent>
            </w:sdt>
            <w:r w:rsidR="0021077D">
              <w:t xml:space="preserve"> </w:t>
            </w:r>
          </w:p>
          <w:p w:rsidR="001E2571" w:rsidRPr="007E6ADE" w:rsidRDefault="001E2571" w:rsidP="00F111FB">
            <w:pPr>
              <w:jc w:val="center"/>
              <w:cnfStyle w:val="000000100000" w:firstRow="0" w:lastRow="0" w:firstColumn="0" w:lastColumn="0" w:oddVBand="0" w:evenVBand="0" w:oddHBand="1" w:evenHBand="0" w:firstRowFirstColumn="0" w:firstRowLastColumn="0" w:lastRowFirstColumn="0" w:lastRowLastColumn="0"/>
            </w:pPr>
          </w:p>
        </w:tc>
        <w:tc>
          <w:tcPr>
            <w:tcW w:w="1864" w:type="dxa"/>
          </w:tcPr>
          <w:p w:rsidR="007E0737" w:rsidRPr="007E6ADE" w:rsidRDefault="007E6ADE" w:rsidP="00F111FB">
            <w:pPr>
              <w:jc w:val="center"/>
              <w:cnfStyle w:val="000000100000" w:firstRow="0" w:lastRow="0" w:firstColumn="0" w:lastColumn="0" w:oddVBand="0" w:evenVBand="0" w:oddHBand="1" w:evenHBand="0" w:firstRowFirstColumn="0" w:firstRowLastColumn="0" w:lastRowFirstColumn="0" w:lastRowLastColumn="0"/>
            </w:pPr>
            <w:r>
              <w:t>33</w:t>
            </w:r>
          </w:p>
        </w:tc>
        <w:tc>
          <w:tcPr>
            <w:tcW w:w="1844" w:type="dxa"/>
          </w:tcPr>
          <w:p w:rsidR="007E0737" w:rsidRPr="007E6ADE" w:rsidRDefault="00995FB2" w:rsidP="00F111FB">
            <w:pPr>
              <w:jc w:val="center"/>
              <w:cnfStyle w:val="000000100000" w:firstRow="0" w:lastRow="0" w:firstColumn="0" w:lastColumn="0" w:oddVBand="0" w:evenVBand="0" w:oddHBand="1" w:evenHBand="0" w:firstRowFirstColumn="0" w:firstRowLastColumn="0" w:lastRowFirstColumn="0" w:lastRowLastColumn="0"/>
            </w:pPr>
            <w:r>
              <w:t>.</w:t>
            </w:r>
            <w:r w:rsidR="00EB54D4">
              <w:t>864</w:t>
            </w:r>
          </w:p>
        </w:tc>
        <w:tc>
          <w:tcPr>
            <w:tcW w:w="2023" w:type="dxa"/>
          </w:tcPr>
          <w:p w:rsidR="007E0737" w:rsidRPr="00BD72EC" w:rsidRDefault="00BD72EC" w:rsidP="00F111FB">
            <w:pPr>
              <w:jc w:val="center"/>
              <w:cnfStyle w:val="000000100000" w:firstRow="0" w:lastRow="0" w:firstColumn="0" w:lastColumn="0" w:oddVBand="0" w:evenVBand="0" w:oddHBand="1" w:evenHBand="0" w:firstRowFirstColumn="0" w:firstRowLastColumn="0" w:lastRowFirstColumn="0" w:lastRowLastColumn="0"/>
            </w:pPr>
            <w:r w:rsidRPr="00BD72EC">
              <w:t>1.668</w:t>
            </w:r>
            <w:r>
              <w:t>(APPENDIX D)</w:t>
            </w:r>
          </w:p>
        </w:tc>
        <w:tc>
          <w:tcPr>
            <w:tcW w:w="1746" w:type="dxa"/>
          </w:tcPr>
          <w:p w:rsidR="007E0737" w:rsidRPr="00BD72EC" w:rsidRDefault="00EB54D4" w:rsidP="00F111FB">
            <w:pPr>
              <w:jc w:val="center"/>
              <w:cnfStyle w:val="000000100000" w:firstRow="0" w:lastRow="0" w:firstColumn="0" w:lastColumn="0" w:oddVBand="0" w:evenVBand="0" w:oddHBand="1" w:evenHBand="0" w:firstRowFirstColumn="0" w:firstRowLastColumn="0" w:lastRowFirstColumn="0" w:lastRowLastColumn="0"/>
            </w:pPr>
            <w:r>
              <w:t>1.441</w:t>
            </w:r>
          </w:p>
        </w:tc>
      </w:tr>
      <w:tr w:rsidR="00A62671" w:rsidTr="004A4C1B">
        <w:tc>
          <w:tcPr>
            <w:cnfStyle w:val="001000000000" w:firstRow="0" w:lastRow="0" w:firstColumn="1" w:lastColumn="0" w:oddVBand="0" w:evenVBand="0" w:oddHBand="0" w:evenHBand="0" w:firstRowFirstColumn="0" w:firstRowLastColumn="0" w:lastRowFirstColumn="0" w:lastRowLastColumn="0"/>
            <w:tcW w:w="8310" w:type="dxa"/>
            <w:gridSpan w:val="5"/>
          </w:tcPr>
          <w:p w:rsidR="00A62671" w:rsidRPr="00BD72EC" w:rsidRDefault="00A62671" w:rsidP="00A62671">
            <w:r>
              <w:t>Present Value of Estimated Dividends</w:t>
            </w:r>
          </w:p>
        </w:tc>
        <w:tc>
          <w:tcPr>
            <w:tcW w:w="1746" w:type="dxa"/>
          </w:tcPr>
          <w:p w:rsidR="00A62671" w:rsidRDefault="00A62671" w:rsidP="00EB54D4">
            <w:pPr>
              <w:jc w:val="center"/>
              <w:cnfStyle w:val="000000000000" w:firstRow="0" w:lastRow="0" w:firstColumn="0" w:lastColumn="0" w:oddVBand="0" w:evenVBand="0" w:oddHBand="0" w:evenHBand="0" w:firstRowFirstColumn="0" w:firstRowLastColumn="0" w:lastRowFirstColumn="0" w:lastRowLastColumn="0"/>
            </w:pPr>
            <w:r>
              <w:t>=</w:t>
            </w:r>
            <w:r w:rsidR="00EB54D4">
              <w:t>$</w:t>
            </w:r>
            <w:r w:rsidR="00EB54D4">
              <w:fldChar w:fldCharType="begin"/>
            </w:r>
            <w:r w:rsidR="00EB54D4">
              <w:instrText xml:space="preserve"> =SUM(ABOVE) </w:instrText>
            </w:r>
            <w:r w:rsidR="00EB54D4">
              <w:fldChar w:fldCharType="separate"/>
            </w:r>
            <w:r w:rsidR="00EB54D4">
              <w:rPr>
                <w:noProof/>
              </w:rPr>
              <w:t>2.139</w:t>
            </w:r>
            <w:r w:rsidR="00EB54D4">
              <w:fldChar w:fldCharType="end"/>
            </w:r>
          </w:p>
        </w:tc>
      </w:tr>
    </w:tbl>
    <w:p w:rsidR="00E37948" w:rsidRDefault="00E37948" w:rsidP="00F111FB">
      <w:pPr>
        <w:jc w:val="center"/>
        <w:rPr>
          <w:b/>
          <w:sz w:val="32"/>
        </w:rPr>
      </w:pPr>
    </w:p>
    <w:p w:rsidR="00E37948" w:rsidRDefault="00FC704E" w:rsidP="000A4D73">
      <w:pPr>
        <w:jc w:val="center"/>
        <w:rPr>
          <w:b/>
          <w:sz w:val="32"/>
        </w:rPr>
      </w:pPr>
      <w:r>
        <w:rPr>
          <w:b/>
          <w:sz w:val="32"/>
        </w:rPr>
        <w:t>P/E ratio</w:t>
      </w:r>
    </w:p>
    <w:tbl>
      <w:tblPr>
        <w:tblStyle w:val="LightShading-Accent1"/>
        <w:tblW w:w="10098" w:type="dxa"/>
        <w:tblLook w:val="0480" w:firstRow="0" w:lastRow="0" w:firstColumn="1" w:lastColumn="0" w:noHBand="0" w:noVBand="1"/>
      </w:tblPr>
      <w:tblGrid>
        <w:gridCol w:w="1596"/>
        <w:gridCol w:w="1596"/>
        <w:gridCol w:w="1596"/>
        <w:gridCol w:w="1596"/>
        <w:gridCol w:w="1596"/>
        <w:gridCol w:w="2118"/>
      </w:tblGrid>
      <w:tr w:rsidR="00FC704E" w:rsidTr="002D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FC704E" w:rsidRPr="00FC704E" w:rsidRDefault="00FC704E" w:rsidP="00F111FB">
            <w:pPr>
              <w:jc w:val="center"/>
            </w:pPr>
            <w:r>
              <w:t xml:space="preserve">Terminal year </w:t>
            </w:r>
          </w:p>
        </w:tc>
        <w:tc>
          <w:tcPr>
            <w:tcW w:w="1596" w:type="dxa"/>
          </w:tcPr>
          <w:p w:rsidR="00FC704E" w:rsidRPr="00FC704E" w:rsidRDefault="00FC704E" w:rsidP="00F111FB">
            <w:pPr>
              <w:jc w:val="center"/>
              <w:cnfStyle w:val="000000100000" w:firstRow="0" w:lastRow="0" w:firstColumn="0" w:lastColumn="0" w:oddVBand="0" w:evenVBand="0" w:oddHBand="1" w:evenHBand="0" w:firstRowFirstColumn="0" w:firstRowLastColumn="0" w:lastRowFirstColumn="0" w:lastRowLastColumn="0"/>
            </w:pPr>
            <w:r>
              <w:t>EPS</w:t>
            </w:r>
          </w:p>
        </w:tc>
        <w:tc>
          <w:tcPr>
            <w:tcW w:w="1596" w:type="dxa"/>
          </w:tcPr>
          <w:p w:rsidR="00FC704E" w:rsidRPr="008D024C" w:rsidRDefault="008D024C" w:rsidP="00F111FB">
            <w:pPr>
              <w:jc w:val="center"/>
              <w:cnfStyle w:val="000000100000" w:firstRow="0" w:lastRow="0" w:firstColumn="0" w:lastColumn="0" w:oddVBand="0" w:evenVBand="0" w:oddHBand="1" w:evenHBand="0" w:firstRowFirstColumn="0" w:firstRowLastColumn="0" w:lastRowFirstColumn="0" w:lastRowLastColumn="0"/>
            </w:pPr>
            <w:r>
              <w:t>Estimated P/E ratio</w:t>
            </w:r>
          </w:p>
        </w:tc>
        <w:tc>
          <w:tcPr>
            <w:tcW w:w="1596" w:type="dxa"/>
          </w:tcPr>
          <w:p w:rsidR="00FC704E" w:rsidRPr="008D024C" w:rsidRDefault="008D024C" w:rsidP="00F111FB">
            <w:pPr>
              <w:jc w:val="center"/>
              <w:cnfStyle w:val="000000100000" w:firstRow="0" w:lastRow="0" w:firstColumn="0" w:lastColumn="0" w:oddVBand="0" w:evenVBand="0" w:oddHBand="1" w:evenHBand="0" w:firstRowFirstColumn="0" w:firstRowLastColumn="0" w:lastRowFirstColumn="0" w:lastRowLastColumn="0"/>
              <w:rPr>
                <w:vertAlign w:val="subscript"/>
              </w:rPr>
            </w:pPr>
            <w:r>
              <w:t>Price</w:t>
            </w:r>
            <w:r>
              <w:rPr>
                <w:vertAlign w:val="subscript"/>
              </w:rPr>
              <w:t>2013</w:t>
            </w:r>
          </w:p>
        </w:tc>
        <w:tc>
          <w:tcPr>
            <w:tcW w:w="1596" w:type="dxa"/>
          </w:tcPr>
          <w:p w:rsidR="00FC704E" w:rsidRPr="001B4FC3" w:rsidRDefault="001B4FC3" w:rsidP="00F111FB">
            <w:pPr>
              <w:jc w:val="center"/>
              <w:cnfStyle w:val="000000100000" w:firstRow="0" w:lastRow="0" w:firstColumn="0" w:lastColumn="0" w:oddVBand="0" w:evenVBand="0" w:oddHBand="1" w:evenHBand="0" w:firstRowFirstColumn="0" w:firstRowLastColumn="0" w:lastRowFirstColumn="0" w:lastRowLastColumn="0"/>
            </w:pPr>
            <w:r>
              <w:t>PV factor</w:t>
            </w:r>
          </w:p>
        </w:tc>
        <w:tc>
          <w:tcPr>
            <w:tcW w:w="2118" w:type="dxa"/>
          </w:tcPr>
          <w:p w:rsidR="00FC704E" w:rsidRPr="001B4FC3" w:rsidRDefault="00C129B3" w:rsidP="00F111FB">
            <w:pPr>
              <w:jc w:val="center"/>
              <w:cnfStyle w:val="000000100000" w:firstRow="0" w:lastRow="0" w:firstColumn="0" w:lastColumn="0" w:oddVBand="0" w:evenVBand="0" w:oddHBand="1" w:evenHBand="0" w:firstRowFirstColumn="0" w:firstRowLastColumn="0" w:lastRowFirstColumn="0" w:lastRowLastColumn="0"/>
            </w:pPr>
            <w:r>
              <w:t>PV of 2012 stock price</w:t>
            </w:r>
          </w:p>
        </w:tc>
      </w:tr>
      <w:tr w:rsidR="00FC704E" w:rsidTr="002D74DB">
        <w:tc>
          <w:tcPr>
            <w:cnfStyle w:val="001000000000" w:firstRow="0" w:lastRow="0" w:firstColumn="1" w:lastColumn="0" w:oddVBand="0" w:evenVBand="0" w:oddHBand="0" w:evenHBand="0" w:firstRowFirstColumn="0" w:firstRowLastColumn="0" w:lastRowFirstColumn="0" w:lastRowLastColumn="0"/>
            <w:tcW w:w="1596" w:type="dxa"/>
          </w:tcPr>
          <w:p w:rsidR="00FC704E" w:rsidRPr="00FC704E" w:rsidRDefault="00FC704E" w:rsidP="00F111FB">
            <w:pPr>
              <w:jc w:val="center"/>
            </w:pPr>
            <w:r>
              <w:t>2013</w:t>
            </w:r>
          </w:p>
        </w:tc>
        <w:tc>
          <w:tcPr>
            <w:tcW w:w="1596" w:type="dxa"/>
          </w:tcPr>
          <w:p w:rsidR="00FC704E" w:rsidRPr="008D024C" w:rsidRDefault="008D024C" w:rsidP="00F111FB">
            <w:pPr>
              <w:jc w:val="center"/>
              <w:cnfStyle w:val="000000000000" w:firstRow="0" w:lastRow="0" w:firstColumn="0" w:lastColumn="0" w:oddVBand="0" w:evenVBand="0" w:oddHBand="0" w:evenHBand="0" w:firstRowFirstColumn="0" w:firstRowLastColumn="0" w:lastRowFirstColumn="0" w:lastRowLastColumn="0"/>
            </w:pPr>
            <w:r w:rsidRPr="008D024C">
              <w:t>$2.618</w:t>
            </w:r>
          </w:p>
        </w:tc>
        <w:tc>
          <w:tcPr>
            <w:tcW w:w="1596" w:type="dxa"/>
          </w:tcPr>
          <w:p w:rsidR="00FC704E" w:rsidRPr="008D024C" w:rsidRDefault="008D024C" w:rsidP="00F111FB">
            <w:pPr>
              <w:jc w:val="center"/>
              <w:cnfStyle w:val="000000000000" w:firstRow="0" w:lastRow="0" w:firstColumn="0" w:lastColumn="0" w:oddVBand="0" w:evenVBand="0" w:oddHBand="0" w:evenHBand="0" w:firstRowFirstColumn="0" w:firstRowLastColumn="0" w:lastRowFirstColumn="0" w:lastRowLastColumn="0"/>
            </w:pPr>
            <w:r>
              <w:t>9.20</w:t>
            </w:r>
            <w:sdt>
              <w:sdtPr>
                <w:id w:val="-2122053862"/>
                <w:citation/>
              </w:sdtPr>
              <w:sdtEndPr/>
              <w:sdtContent>
                <w:r w:rsidR="00C129B3">
                  <w:fldChar w:fldCharType="begin"/>
                </w:r>
                <w:r w:rsidR="00C129B3">
                  <w:instrText xml:space="preserve">CITATION ADV12 \l 1033 </w:instrText>
                </w:r>
                <w:r w:rsidR="00C129B3">
                  <w:fldChar w:fldCharType="separate"/>
                </w:r>
                <w:r w:rsidR="00C129B3">
                  <w:rPr>
                    <w:noProof/>
                  </w:rPr>
                  <w:t xml:space="preserve"> (advfn.com, 2012)</w:t>
                </w:r>
                <w:r w:rsidR="00C129B3">
                  <w:fldChar w:fldCharType="end"/>
                </w:r>
              </w:sdtContent>
            </w:sdt>
          </w:p>
        </w:tc>
        <w:tc>
          <w:tcPr>
            <w:tcW w:w="1596" w:type="dxa"/>
          </w:tcPr>
          <w:p w:rsidR="00FC704E" w:rsidRPr="008D024C" w:rsidRDefault="008D024C" w:rsidP="00F111FB">
            <w:pPr>
              <w:jc w:val="center"/>
              <w:cnfStyle w:val="000000000000" w:firstRow="0" w:lastRow="0" w:firstColumn="0" w:lastColumn="0" w:oddVBand="0" w:evenVBand="0" w:oddHBand="0" w:evenHBand="0" w:firstRowFirstColumn="0" w:firstRowLastColumn="0" w:lastRowFirstColumn="0" w:lastRowLastColumn="0"/>
            </w:pPr>
            <w:r>
              <w:t>$</w:t>
            </w:r>
            <w:r w:rsidR="001B4FC3">
              <w:t>24.09</w:t>
            </w:r>
          </w:p>
        </w:tc>
        <w:tc>
          <w:tcPr>
            <w:tcW w:w="1596" w:type="dxa"/>
          </w:tcPr>
          <w:p w:rsidR="00FC704E" w:rsidRPr="001B4FC3" w:rsidRDefault="001B4FC3" w:rsidP="00F111FB">
            <w:pPr>
              <w:jc w:val="center"/>
              <w:cnfStyle w:val="000000000000" w:firstRow="0" w:lastRow="0" w:firstColumn="0" w:lastColumn="0" w:oddVBand="0" w:evenVBand="0" w:oddHBand="0" w:evenHBand="0" w:firstRowFirstColumn="0" w:firstRowLastColumn="0" w:lastRowFirstColumn="0" w:lastRowLastColumn="0"/>
            </w:pPr>
            <w:r w:rsidRPr="001B4FC3">
              <w:t>.783</w:t>
            </w:r>
          </w:p>
        </w:tc>
        <w:tc>
          <w:tcPr>
            <w:tcW w:w="2118" w:type="dxa"/>
          </w:tcPr>
          <w:p w:rsidR="00FC704E" w:rsidRPr="00C129B3" w:rsidRDefault="00C129B3" w:rsidP="00F111FB">
            <w:pPr>
              <w:jc w:val="center"/>
              <w:cnfStyle w:val="000000000000" w:firstRow="0" w:lastRow="0" w:firstColumn="0" w:lastColumn="0" w:oddVBand="0" w:evenVBand="0" w:oddHBand="0" w:evenHBand="0" w:firstRowFirstColumn="0" w:firstRowLastColumn="0" w:lastRowFirstColumn="0" w:lastRowLastColumn="0"/>
            </w:pPr>
            <w:r>
              <w:t>$18.86</w:t>
            </w:r>
          </w:p>
        </w:tc>
      </w:tr>
      <w:tr w:rsidR="000B1D41" w:rsidTr="002D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0" w:type="dxa"/>
            <w:gridSpan w:val="5"/>
          </w:tcPr>
          <w:p w:rsidR="000B1D41" w:rsidRPr="000A4D73" w:rsidRDefault="000A4D73" w:rsidP="00F111FB">
            <w:pPr>
              <w:jc w:val="center"/>
            </w:pPr>
            <w:r>
              <w:t>Total PV at beginning of 2012</w:t>
            </w:r>
          </w:p>
        </w:tc>
        <w:tc>
          <w:tcPr>
            <w:tcW w:w="2118" w:type="dxa"/>
          </w:tcPr>
          <w:p w:rsidR="000B1D41" w:rsidRPr="000A4D73" w:rsidRDefault="000A4D73" w:rsidP="000A4D73">
            <w:pPr>
              <w:cnfStyle w:val="000000100000" w:firstRow="0" w:lastRow="0" w:firstColumn="0" w:lastColumn="0" w:oddVBand="0" w:evenVBand="0" w:oddHBand="1" w:evenHBand="0" w:firstRowFirstColumn="0" w:firstRowLastColumn="0" w:lastRowFirstColumn="0" w:lastRowLastColumn="0"/>
            </w:pPr>
            <w:r>
              <w:t>=$21.00</w:t>
            </w:r>
          </w:p>
        </w:tc>
      </w:tr>
    </w:tbl>
    <w:p w:rsidR="00787B46" w:rsidRDefault="00787B46" w:rsidP="00836279">
      <w:pPr>
        <w:rPr>
          <w:b/>
          <w:sz w:val="32"/>
        </w:rPr>
      </w:pPr>
    </w:p>
    <w:p w:rsidR="003F5B6C" w:rsidRDefault="003F5B6C" w:rsidP="00836279">
      <w:pPr>
        <w:rPr>
          <w:b/>
          <w:sz w:val="32"/>
        </w:rPr>
      </w:pPr>
    </w:p>
    <w:p w:rsidR="00FB2683" w:rsidRPr="002E797C" w:rsidRDefault="006A0D45" w:rsidP="002E797C">
      <w:pPr>
        <w:jc w:val="center"/>
        <w:rPr>
          <w:b/>
          <w:sz w:val="32"/>
        </w:rPr>
      </w:pPr>
      <w:r w:rsidRPr="00F87ED7">
        <w:rPr>
          <w:noProof/>
          <w:sz w:val="36"/>
        </w:rPr>
        <mc:AlternateContent>
          <mc:Choice Requires="wps">
            <w:drawing>
              <wp:anchor distT="0" distB="0" distL="114300" distR="114300" simplePos="0" relativeHeight="251673600" behindDoc="0" locked="0" layoutInCell="1" allowOverlap="1" wp14:anchorId="594BB7B6" wp14:editId="48D3AB24">
                <wp:simplePos x="0" y="0"/>
                <wp:positionH relativeFrom="margin">
                  <wp:align>center</wp:align>
                </wp:positionH>
                <wp:positionV relativeFrom="paragraph">
                  <wp:posOffset>-9525</wp:posOffset>
                </wp:positionV>
                <wp:extent cx="6400800" cy="0"/>
                <wp:effectExtent l="57150" t="38100" r="57150" b="95250"/>
                <wp:wrapNone/>
                <wp:docPr id="16" name="Straight Connector 16"/>
                <wp:cNvGraphicFramePr/>
                <a:graphic xmlns:a="http://schemas.openxmlformats.org/drawingml/2006/main">
                  <a:graphicData uri="http://schemas.microsoft.com/office/word/2010/wordprocessingShape">
                    <wps:wsp>
                      <wps:cNvCnPr/>
                      <wps:spPr>
                        <a:xfrm>
                          <a:off x="0" y="0"/>
                          <a:ext cx="64008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7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" strokecolor="#4f81bd" strokeweight="3pt">
                <v:shadow on="t" color="black" opacity="22937f" origin=",.5" offset="0,.63889mm"/>
                <w10:wrap anchorx="margin"/>
              </v:line>
            </w:pict>
          </mc:Fallback>
        </mc:AlternateContent>
      </w:r>
      <w:bookmarkStart w:id="4" w:name="_Toc337993504"/>
      <w:r w:rsidR="002E797C" w:rsidRPr="00C170C0">
        <w:rPr>
          <w:rStyle w:val="Heading1Char"/>
        </w:rPr>
        <w:t>Ratio Analysis</w:t>
      </w:r>
      <w:bookmarkEnd w:id="4"/>
    </w:p>
    <w:p w:rsidR="00992665" w:rsidRDefault="002E797C" w:rsidP="00F3633F">
      <w:pPr>
        <w:autoSpaceDE w:val="0"/>
        <w:autoSpaceDN w:val="0"/>
        <w:adjustRightInd w:val="0"/>
        <w:spacing w:before="240" w:line="480" w:lineRule="auto"/>
        <w:rPr>
          <w:rFonts w:ascii="Thorndale for VST" w:hAnsi="Thorndale for VST" w:cs="Thorndale for VST"/>
          <w:noProof/>
        </w:rPr>
      </w:pPr>
      <w:r>
        <w:rPr>
          <w:rFonts w:ascii="Thorndale for VST" w:hAnsi="Thorndale for VST" w:cs="Thorndale for VST"/>
          <w:b/>
          <w:bCs/>
        </w:rPr>
        <w:tab/>
      </w:r>
      <w:r>
        <w:rPr>
          <w:rFonts w:cs="Times New Roman"/>
          <w:bCs/>
        </w:rPr>
        <w:t>Intel’s</w:t>
      </w:r>
      <w:r w:rsidR="00FB0D53">
        <w:rPr>
          <w:rFonts w:cs="Times New Roman"/>
          <w:bCs/>
        </w:rPr>
        <w:t xml:space="preserve"> Profitability ratios are Gross Profit Margin, After-Tax Profit Margin, Return on Assets, and Return on Equity. </w:t>
      </w:r>
      <w:r w:rsidR="009C0F0B">
        <w:rPr>
          <w:rFonts w:cs="Times New Roman"/>
          <w:bCs/>
        </w:rPr>
        <w:t>Intel’s Gross</w:t>
      </w:r>
      <w:r w:rsidR="00FB0D53">
        <w:rPr>
          <w:rFonts w:ascii="Thorndale for VST" w:hAnsi="Thorndale for VST" w:cs="Thorndale for VST"/>
        </w:rPr>
        <w:t xml:space="preserve"> Profit M</w:t>
      </w:r>
      <w:r>
        <w:rPr>
          <w:rFonts w:ascii="Thorndale for VST" w:hAnsi="Thorndale for VST" w:cs="Thorndale for VST"/>
        </w:rPr>
        <w:t>argin for the fi</w:t>
      </w:r>
      <w:r w:rsidR="00E66433">
        <w:rPr>
          <w:rFonts w:ascii="Thorndale for VST" w:hAnsi="Thorndale for VST" w:cs="Thorndale for VST"/>
        </w:rPr>
        <w:t xml:space="preserve">scal year ended </w:t>
      </w:r>
      <w:r w:rsidR="004A207C">
        <w:rPr>
          <w:rFonts w:ascii="Thorndale for VST" w:hAnsi="Thorndale for VST" w:cs="Thorndale for VST"/>
        </w:rPr>
        <w:t xml:space="preserve">December 31, </w:t>
      </w:r>
      <w:r w:rsidR="00E66433">
        <w:rPr>
          <w:rFonts w:ascii="Thorndale for VST" w:hAnsi="Thorndale for VST" w:cs="Thorndale for VST"/>
        </w:rPr>
        <w:t>2011 was at 64.46</w:t>
      </w:r>
      <w:r>
        <w:rPr>
          <w:rFonts w:ascii="Thorndale for VST" w:hAnsi="Thorndale for VST" w:cs="Thorndale for VST"/>
        </w:rPr>
        <w:t xml:space="preserve"> percent which means that for every dollar Intel spent on creating semiconductors, the company </w:t>
      </w:r>
      <w:r w:rsidR="004A207C">
        <w:rPr>
          <w:rFonts w:ascii="Thorndale for VST" w:hAnsi="Thorndale for VST" w:cs="Thorndale for VST"/>
        </w:rPr>
        <w:t>has $0.6446</w:t>
      </w:r>
      <w:r>
        <w:rPr>
          <w:rFonts w:ascii="Thorndale for VST" w:hAnsi="Thorndale for VST" w:cs="Thorndale for VST"/>
        </w:rPr>
        <w:t xml:space="preserve"> </w:t>
      </w:r>
      <w:r w:rsidR="00E66433">
        <w:rPr>
          <w:rFonts w:ascii="Thorndale for VST" w:hAnsi="Thorndale for VST" w:cs="Thorndale for VST"/>
        </w:rPr>
        <w:t>left at the end of the day.</w:t>
      </w:r>
      <w:r w:rsidR="004A207C">
        <w:rPr>
          <w:rFonts w:ascii="Thorndale for VST" w:hAnsi="Thorndale for VST" w:cs="Thorndale for VST"/>
        </w:rPr>
        <w:t xml:space="preserve"> </w:t>
      </w:r>
      <w:r w:rsidR="00482085">
        <w:rPr>
          <w:rFonts w:ascii="Thorndale for VST" w:hAnsi="Thorndale for VST" w:cs="Thorndale for VST"/>
        </w:rPr>
        <w:t>The fiscal year 2010</w:t>
      </w:r>
      <w:r w:rsidR="004A207C">
        <w:rPr>
          <w:rFonts w:ascii="Thorndale for VST" w:hAnsi="Thorndale for VST" w:cs="Thorndale for VST"/>
        </w:rPr>
        <w:t xml:space="preserve"> </w:t>
      </w:r>
      <w:r w:rsidR="00AD19D0">
        <w:rPr>
          <w:rFonts w:ascii="Thorndale for VST" w:hAnsi="Thorndale for VST" w:cs="Thorndale for VST"/>
        </w:rPr>
        <w:t>Profit M</w:t>
      </w:r>
      <w:r w:rsidR="004A207C">
        <w:rPr>
          <w:rFonts w:ascii="Thorndale for VST" w:hAnsi="Thorndale for VST" w:cs="Thorndale for VST"/>
        </w:rPr>
        <w:t xml:space="preserve">argin for Intel was at 64.64 percent, a slight </w:t>
      </w:r>
      <w:r w:rsidR="00482085">
        <w:rPr>
          <w:rFonts w:ascii="Thorndale for VST" w:hAnsi="Thorndale for VST" w:cs="Thorndale for VST"/>
        </w:rPr>
        <w:t xml:space="preserve">decrease in 2011 from 2010 </w:t>
      </w:r>
      <w:sdt>
        <w:sdtPr>
          <w:rPr>
            <w:rFonts w:ascii="Thorndale for VST" w:hAnsi="Thorndale for VST" w:cs="Thorndale for VST"/>
          </w:rPr>
          <w:id w:val="-1290894074"/>
          <w:citation/>
        </w:sdtPr>
        <w:sdtEndPr/>
        <w:sdtContent>
          <w:r w:rsidR="00482085">
            <w:rPr>
              <w:rFonts w:ascii="Thorndale for VST" w:hAnsi="Thorndale for VST" w:cs="Thorndale for VST"/>
            </w:rPr>
            <w:fldChar w:fldCharType="begin"/>
          </w:r>
          <w:r w:rsidR="00482085">
            <w:rPr>
              <w:rFonts w:ascii="Thorndale for VST" w:hAnsi="Thorndale for VST" w:cs="Thorndale for VST"/>
            </w:rPr>
            <w:instrText xml:space="preserve"> CITATION YCh12 \l 1033 </w:instrText>
          </w:r>
          <w:r w:rsidR="00482085">
            <w:rPr>
              <w:rFonts w:ascii="Thorndale for VST" w:hAnsi="Thorndale for VST" w:cs="Thorndale for VST"/>
            </w:rPr>
            <w:fldChar w:fldCharType="separate"/>
          </w:r>
          <w:r w:rsidR="00482085" w:rsidRPr="00482085">
            <w:rPr>
              <w:rFonts w:ascii="Thorndale for VST" w:hAnsi="Thorndale for VST" w:cs="Thorndale for VST"/>
              <w:noProof/>
            </w:rPr>
            <w:t>(YCharts, 2012)</w:t>
          </w:r>
          <w:r w:rsidR="00482085">
            <w:rPr>
              <w:rFonts w:ascii="Thorndale for VST" w:hAnsi="Thorndale for VST" w:cs="Thorndale for VST"/>
            </w:rPr>
            <w:fldChar w:fldCharType="end"/>
          </w:r>
        </w:sdtContent>
      </w:sdt>
      <w:r w:rsidR="00AD19D0">
        <w:rPr>
          <w:rFonts w:ascii="Thorndale for VST" w:hAnsi="Thorndale for VST" w:cs="Thorndale for VST"/>
        </w:rPr>
        <w:t xml:space="preserve">. The </w:t>
      </w:r>
      <w:r w:rsidR="00AD19D0">
        <w:rPr>
          <w:rFonts w:ascii="Thorndale for VST" w:hAnsi="Thorndale for VST" w:cs="Thorndale for VST"/>
        </w:rPr>
        <w:lastRenderedPageBreak/>
        <w:t>After-tax Profit M</w:t>
      </w:r>
      <w:r w:rsidR="00482085">
        <w:rPr>
          <w:rFonts w:ascii="Thorndale for VST" w:hAnsi="Thorndale for VST" w:cs="Thorndale for VST"/>
        </w:rPr>
        <w:t xml:space="preserve">argin </w:t>
      </w:r>
      <w:r w:rsidR="00730A60">
        <w:rPr>
          <w:rFonts w:ascii="Thorndale for VST" w:hAnsi="Thorndale for VST" w:cs="Thorndale for VST"/>
        </w:rPr>
        <w:t>for Intel for the fiscal year ended December 2011 was at 24.20 percent compare to 2010 at 27.76 percent, more than</w:t>
      </w:r>
      <w:r w:rsidR="00AD19D0">
        <w:rPr>
          <w:rFonts w:ascii="Thorndale for VST" w:hAnsi="Thorndale for VST" w:cs="Thorndale for VST"/>
        </w:rPr>
        <w:t xml:space="preserve"> a 3 percent decrease in After-Tax Profit M</w:t>
      </w:r>
      <w:r w:rsidR="00730A60">
        <w:rPr>
          <w:rFonts w:ascii="Thorndale for VST" w:hAnsi="Thorndale for VST" w:cs="Thorndale for VST"/>
        </w:rPr>
        <w:t>argin for 2011</w:t>
      </w:r>
      <w:sdt>
        <w:sdtPr>
          <w:rPr>
            <w:rFonts w:ascii="Thorndale for VST" w:hAnsi="Thorndale for VST" w:cs="Thorndale for VST"/>
          </w:rPr>
          <w:id w:val="986592635"/>
          <w:citation/>
        </w:sdtPr>
        <w:sdtEndPr/>
        <w:sdtContent>
          <w:r w:rsidR="00D939E7">
            <w:rPr>
              <w:rFonts w:ascii="Thorndale for VST" w:hAnsi="Thorndale for VST" w:cs="Thorndale for VST"/>
            </w:rPr>
            <w:fldChar w:fldCharType="begin"/>
          </w:r>
          <w:r w:rsidR="00D939E7">
            <w:rPr>
              <w:rFonts w:ascii="Thorndale for VST" w:hAnsi="Thorndale for VST" w:cs="Thorndale for VST"/>
            </w:rPr>
            <w:instrText xml:space="preserve"> CITATION YCh12 \l 1033 </w:instrText>
          </w:r>
          <w:r w:rsidR="00D939E7">
            <w:rPr>
              <w:rFonts w:ascii="Thorndale for VST" w:hAnsi="Thorndale for VST" w:cs="Thorndale for VST"/>
            </w:rPr>
            <w:fldChar w:fldCharType="separate"/>
          </w:r>
          <w:r w:rsidR="00D939E7">
            <w:rPr>
              <w:rFonts w:ascii="Thorndale for VST" w:hAnsi="Thorndale for VST" w:cs="Thorndale for VST"/>
              <w:noProof/>
            </w:rPr>
            <w:t xml:space="preserve"> </w:t>
          </w:r>
          <w:r w:rsidR="00D939E7" w:rsidRPr="00D939E7">
            <w:rPr>
              <w:rFonts w:ascii="Thorndale for VST" w:hAnsi="Thorndale for VST" w:cs="Thorndale for VST"/>
              <w:noProof/>
            </w:rPr>
            <w:t>(YCharts, 2012)</w:t>
          </w:r>
          <w:r w:rsidR="00D939E7">
            <w:rPr>
              <w:rFonts w:ascii="Thorndale for VST" w:hAnsi="Thorndale for VST" w:cs="Thorndale for VST"/>
            </w:rPr>
            <w:fldChar w:fldCharType="end"/>
          </w:r>
        </w:sdtContent>
      </w:sdt>
      <w:r w:rsidR="00730A60">
        <w:rPr>
          <w:rFonts w:ascii="Thorndale for VST" w:hAnsi="Thorndale for VST" w:cs="Thorndale for VST"/>
        </w:rPr>
        <w:t>.</w:t>
      </w:r>
      <w:r w:rsidR="00FE2B1D">
        <w:rPr>
          <w:rFonts w:ascii="Thorndale for VST" w:hAnsi="Thorndale for VST" w:cs="Thorndale for VST"/>
        </w:rPr>
        <w:t xml:space="preserve"> Return on A</w:t>
      </w:r>
      <w:r w:rsidR="00D939E7">
        <w:rPr>
          <w:rFonts w:ascii="Thorndale for VST" w:hAnsi="Thorndale for VST" w:cs="Thorndale for VST"/>
        </w:rPr>
        <w:t xml:space="preserve">ssets for 2011 was at 19.3 percent and 2010 at 19.7 percent. </w:t>
      </w:r>
      <w:r w:rsidR="0073456F">
        <w:rPr>
          <w:rFonts w:ascii="Thorndale for VST" w:hAnsi="Thorndale for VST" w:cs="Thorndale for VST"/>
        </w:rPr>
        <w:t>Return on Equity for 2011 was 27.1 percent and 2010 was 25.2 percent. Return on Equity for Intel experienced an inc</w:t>
      </w:r>
      <w:r w:rsidR="00FB0D53">
        <w:rPr>
          <w:rFonts w:ascii="Thorndale for VST" w:hAnsi="Thorndale for VST" w:cs="Thorndale for VST"/>
        </w:rPr>
        <w:t>rease in</w:t>
      </w:r>
      <w:r w:rsidR="0073456F">
        <w:rPr>
          <w:rFonts w:ascii="Thorndale for VST" w:hAnsi="Thorndale for VST" w:cs="Thorndale for VST"/>
        </w:rPr>
        <w:t xml:space="preserve"> 2011 compare to 2010 which indicated that Intel </w:t>
      </w:r>
      <w:r w:rsidR="00FB0D53">
        <w:rPr>
          <w:rFonts w:ascii="Thorndale for VST" w:hAnsi="Thorndale for VST" w:cs="Thorndale for VST"/>
        </w:rPr>
        <w:t>is generating profits from shareholder’s money</w:t>
      </w:r>
      <w:r w:rsidR="009C0F0B">
        <w:rPr>
          <w:rFonts w:ascii="Thorndale for VST" w:hAnsi="Thorndale for VST" w:cs="Thorndale for VST"/>
        </w:rPr>
        <w:t xml:space="preserve"> </w:t>
      </w:r>
      <w:sdt>
        <w:sdtPr>
          <w:rPr>
            <w:rFonts w:ascii="Thorndale for VST" w:hAnsi="Thorndale for VST" w:cs="Thorndale for VST"/>
          </w:rPr>
          <w:id w:val="-1450085080"/>
          <w:citation/>
        </w:sdtPr>
        <w:sdtEndPr/>
        <w:sdtContent>
          <w:r w:rsidR="009C0F0B">
            <w:rPr>
              <w:rFonts w:ascii="Thorndale for VST" w:hAnsi="Thorndale for VST" w:cs="Thorndale for VST"/>
            </w:rPr>
            <w:fldChar w:fldCharType="begin"/>
          </w:r>
          <w:r w:rsidR="009C0F0B">
            <w:rPr>
              <w:rFonts w:ascii="Thorndale for VST" w:hAnsi="Thorndale for VST" w:cs="Thorndale for VST"/>
            </w:rPr>
            <w:instrText xml:space="preserve"> CITATION Mor12 \l 1033 </w:instrText>
          </w:r>
          <w:r w:rsidR="009C0F0B">
            <w:rPr>
              <w:rFonts w:ascii="Thorndale for VST" w:hAnsi="Thorndale for VST" w:cs="Thorndale for VST"/>
            </w:rPr>
            <w:fldChar w:fldCharType="separate"/>
          </w:r>
          <w:r w:rsidR="009C0F0B" w:rsidRPr="009C0F0B">
            <w:rPr>
              <w:rFonts w:ascii="Thorndale for VST" w:hAnsi="Thorndale for VST" w:cs="Thorndale for VST"/>
              <w:noProof/>
            </w:rPr>
            <w:t>(Morningstar, 2012)</w:t>
          </w:r>
          <w:r w:rsidR="009C0F0B">
            <w:rPr>
              <w:rFonts w:ascii="Thorndale for VST" w:hAnsi="Thorndale for VST" w:cs="Thorndale for VST"/>
            </w:rPr>
            <w:fldChar w:fldCharType="end"/>
          </w:r>
        </w:sdtContent>
      </w:sdt>
      <w:r w:rsidR="00FB0D53">
        <w:rPr>
          <w:rFonts w:ascii="Thorndale for VST" w:hAnsi="Thorndale for VST" w:cs="Thorndale for VST"/>
        </w:rPr>
        <w:t>.</w:t>
      </w:r>
      <w:r w:rsidR="00AD19D0">
        <w:rPr>
          <w:rFonts w:ascii="Thorndale for VST" w:hAnsi="Thorndale for VST" w:cs="Thorndale for VST"/>
        </w:rPr>
        <w:t xml:space="preserve"> Intel’s Asset-utilization ratios are Receivables T</w:t>
      </w:r>
      <w:r w:rsidR="00FB2683">
        <w:rPr>
          <w:rFonts w:ascii="Thorndale for VST" w:hAnsi="Thorndale for VST" w:cs="Thorndale for VST"/>
        </w:rPr>
        <w:t>urnover</w:t>
      </w:r>
      <w:r w:rsidR="00AD19D0">
        <w:rPr>
          <w:rFonts w:ascii="Thorndale for VST" w:hAnsi="Thorndale for VST" w:cs="Thorndale for VST"/>
        </w:rPr>
        <w:t>, Inventory Turnover, Fixed-Asset Turnover, and Total Asset Turnover</w:t>
      </w:r>
      <w:r w:rsidR="00FB2683">
        <w:rPr>
          <w:rFonts w:ascii="Thorndale for VST" w:hAnsi="Thorndale for VST" w:cs="Thorndale for VST"/>
        </w:rPr>
        <w:t>.</w:t>
      </w:r>
      <w:r w:rsidR="007C65F9">
        <w:rPr>
          <w:rFonts w:ascii="Thorndale for VST" w:hAnsi="Thorndale for VST" w:cs="Thorndale for VST"/>
        </w:rPr>
        <w:t xml:space="preserve"> Intel’s </w:t>
      </w:r>
      <w:r w:rsidR="00DB6ED3">
        <w:rPr>
          <w:rFonts w:ascii="Thorndale for VST" w:hAnsi="Thorndale for VST" w:cs="Thorndale for VST"/>
        </w:rPr>
        <w:t>Receivables Turnover ratio for 2011 was 14.79 compare to 2010’s ratio of 15.22. According to the decrease in the Receivables Turnover ratio, Intel</w:t>
      </w:r>
      <w:r w:rsidR="0017409E">
        <w:rPr>
          <w:rFonts w:ascii="Thorndale for VST" w:hAnsi="Thorndale for VST" w:cs="Thorndale for VST"/>
        </w:rPr>
        <w:t xml:space="preserve">’s efficiency in using the company’s assets deteriorated </w:t>
      </w:r>
      <w:sdt>
        <w:sdtPr>
          <w:rPr>
            <w:rFonts w:ascii="Thorndale for VST" w:hAnsi="Thorndale for VST" w:cs="Thorndale for VST"/>
          </w:rPr>
          <w:id w:val="-1389022209"/>
          <w:citation/>
        </w:sdtPr>
        <w:sdtEndPr/>
        <w:sdtContent>
          <w:r w:rsidR="0017409E">
            <w:rPr>
              <w:rFonts w:ascii="Thorndale for VST" w:hAnsi="Thorndale for VST" w:cs="Thorndale for VST"/>
            </w:rPr>
            <w:fldChar w:fldCharType="begin"/>
          </w:r>
          <w:r w:rsidR="0017409E">
            <w:rPr>
              <w:rFonts w:ascii="Thorndale for VST" w:hAnsi="Thorndale for VST" w:cs="Thorndale for VST"/>
            </w:rPr>
            <w:instrText xml:space="preserve"> CITATION Sto121 \l 1033 </w:instrText>
          </w:r>
          <w:r w:rsidR="0017409E">
            <w:rPr>
              <w:rFonts w:ascii="Thorndale for VST" w:hAnsi="Thorndale for VST" w:cs="Thorndale for VST"/>
            </w:rPr>
            <w:fldChar w:fldCharType="separate"/>
          </w:r>
          <w:r w:rsidR="0017409E" w:rsidRPr="0017409E">
            <w:rPr>
              <w:rFonts w:ascii="Thorndale for VST" w:hAnsi="Thorndale for VST" w:cs="Thorndale for VST"/>
              <w:noProof/>
            </w:rPr>
            <w:t>(Stock Analysis on the Net, 2012)</w:t>
          </w:r>
          <w:r w:rsidR="0017409E">
            <w:rPr>
              <w:rFonts w:ascii="Thorndale for VST" w:hAnsi="Thorndale for VST" w:cs="Thorndale for VST"/>
            </w:rPr>
            <w:fldChar w:fldCharType="end"/>
          </w:r>
        </w:sdtContent>
      </w:sdt>
      <w:r w:rsidR="0017409E">
        <w:rPr>
          <w:rFonts w:ascii="Thorndale for VST" w:hAnsi="Thorndale for VST" w:cs="Thorndale for VST"/>
        </w:rPr>
        <w:t xml:space="preserve">. The Inventory Turnover ratio for Intel for the year ended December 2011 was 13.18 and 2010 was </w:t>
      </w:r>
      <w:r w:rsidR="006E50A1">
        <w:rPr>
          <w:rFonts w:ascii="Thorndale for VST" w:hAnsi="Thorndale for VST" w:cs="Thorndale for VST"/>
        </w:rPr>
        <w:t xml:space="preserve">11.61, an improvement from 2010 </w:t>
      </w:r>
      <w:sdt>
        <w:sdtPr>
          <w:rPr>
            <w:rFonts w:ascii="Thorndale for VST" w:hAnsi="Thorndale for VST" w:cs="Thorndale for VST"/>
          </w:rPr>
          <w:id w:val="-1886790243"/>
          <w:citation/>
        </w:sdtPr>
        <w:sdtEndPr/>
        <w:sdtContent>
          <w:r w:rsidR="006E50A1">
            <w:rPr>
              <w:rFonts w:ascii="Thorndale for VST" w:hAnsi="Thorndale for VST" w:cs="Thorndale for VST"/>
            </w:rPr>
            <w:fldChar w:fldCharType="begin"/>
          </w:r>
          <w:r w:rsidR="006E50A1">
            <w:rPr>
              <w:rFonts w:ascii="Thorndale for VST" w:hAnsi="Thorndale for VST" w:cs="Thorndale for VST"/>
            </w:rPr>
            <w:instrText xml:space="preserve"> CITATION Sto121 \l 1033 </w:instrText>
          </w:r>
          <w:r w:rsidR="006E50A1">
            <w:rPr>
              <w:rFonts w:ascii="Thorndale for VST" w:hAnsi="Thorndale for VST" w:cs="Thorndale for VST"/>
            </w:rPr>
            <w:fldChar w:fldCharType="separate"/>
          </w:r>
          <w:r w:rsidR="006E50A1" w:rsidRPr="006E50A1">
            <w:rPr>
              <w:rFonts w:ascii="Thorndale for VST" w:hAnsi="Thorndale for VST" w:cs="Thorndale for VST"/>
              <w:noProof/>
            </w:rPr>
            <w:t>(Stock Analysis on the Net, 2012)</w:t>
          </w:r>
          <w:r w:rsidR="006E50A1">
            <w:rPr>
              <w:rFonts w:ascii="Thorndale for VST" w:hAnsi="Thorndale for VST" w:cs="Thorndale for VST"/>
            </w:rPr>
            <w:fldChar w:fldCharType="end"/>
          </w:r>
        </w:sdtContent>
      </w:sdt>
      <w:r w:rsidR="006E50A1">
        <w:rPr>
          <w:rFonts w:ascii="Thorndale for VST" w:hAnsi="Thorndale for VST" w:cs="Thorndale for VST"/>
        </w:rPr>
        <w:t xml:space="preserve">. The Fixed-Asset Turnover ratio </w:t>
      </w:r>
      <w:r w:rsidR="00B95BA2">
        <w:rPr>
          <w:rFonts w:ascii="Thorndale for VST" w:hAnsi="Thorndale for VST" w:cs="Thorndale for VST"/>
        </w:rPr>
        <w:t xml:space="preserve">for 2011 was 2.29 and 2010 was 2.44, a slight decrease. The Total Asset Turnover for 2011 was 0.76 and 2010 was </w:t>
      </w:r>
      <w:r w:rsidR="00A3100A">
        <w:rPr>
          <w:rFonts w:ascii="Thorndale for VST" w:hAnsi="Thorndale for VST" w:cs="Thorndale for VST"/>
        </w:rPr>
        <w:t xml:space="preserve">0.69, an improvement </w:t>
      </w:r>
      <w:sdt>
        <w:sdtPr>
          <w:rPr>
            <w:rFonts w:ascii="Thorndale for VST" w:hAnsi="Thorndale for VST" w:cs="Thorndale for VST"/>
          </w:rPr>
          <w:id w:val="-1087759449"/>
          <w:citation/>
        </w:sdtPr>
        <w:sdtEndPr/>
        <w:sdtContent>
          <w:r w:rsidR="00A3100A">
            <w:rPr>
              <w:rFonts w:ascii="Thorndale for VST" w:hAnsi="Thorndale for VST" w:cs="Thorndale for VST"/>
            </w:rPr>
            <w:fldChar w:fldCharType="begin"/>
          </w:r>
          <w:r w:rsidR="00A3100A">
            <w:rPr>
              <w:rFonts w:ascii="Thorndale for VST" w:hAnsi="Thorndale for VST" w:cs="Thorndale for VST"/>
            </w:rPr>
            <w:instrText xml:space="preserve"> CITATION Sto121 \l 1033 </w:instrText>
          </w:r>
          <w:r w:rsidR="00A3100A">
            <w:rPr>
              <w:rFonts w:ascii="Thorndale for VST" w:hAnsi="Thorndale for VST" w:cs="Thorndale for VST"/>
            </w:rPr>
            <w:fldChar w:fldCharType="separate"/>
          </w:r>
          <w:r w:rsidR="00A3100A" w:rsidRPr="00A3100A">
            <w:rPr>
              <w:rFonts w:ascii="Thorndale for VST" w:hAnsi="Thorndale for VST" w:cs="Thorndale for VST"/>
              <w:noProof/>
            </w:rPr>
            <w:t>(Stock Analysis on the Net, 2012)</w:t>
          </w:r>
          <w:r w:rsidR="00A3100A">
            <w:rPr>
              <w:rFonts w:ascii="Thorndale for VST" w:hAnsi="Thorndale for VST" w:cs="Thorndale for VST"/>
            </w:rPr>
            <w:fldChar w:fldCharType="end"/>
          </w:r>
        </w:sdtContent>
      </w:sdt>
      <w:r w:rsidR="00A3100A">
        <w:rPr>
          <w:rFonts w:ascii="Thorndale for VST" w:hAnsi="Thorndale for VST" w:cs="Thorndale for VST"/>
        </w:rPr>
        <w:t xml:space="preserve">. The Liquidity ratios for Intel are the Current Ratio, Quick Ratio, and Net working capital to total assets. </w:t>
      </w:r>
      <w:r w:rsidR="00D37C7D">
        <w:rPr>
          <w:rFonts w:ascii="Thorndale for VST" w:hAnsi="Thorndale for VST" w:cs="Thorndale for VST"/>
        </w:rPr>
        <w:t>The Current ratio for 2011 was</w:t>
      </w:r>
      <w:r w:rsidR="00747A71">
        <w:rPr>
          <w:rFonts w:ascii="Thorndale for VST" w:hAnsi="Thorndale for VST" w:cs="Thorndale for VST"/>
        </w:rPr>
        <w:t xml:space="preserve"> 2.151 and for 2010 </w:t>
      </w:r>
      <w:r w:rsidR="00D37C7D">
        <w:rPr>
          <w:rFonts w:ascii="Thorndale for VST" w:hAnsi="Thorndale for VST" w:cs="Thorndale for VST"/>
        </w:rPr>
        <w:t>were</w:t>
      </w:r>
      <w:r w:rsidR="00747A71">
        <w:rPr>
          <w:rFonts w:ascii="Thorndale for VST" w:hAnsi="Thorndale for VST" w:cs="Thorndale for VST"/>
        </w:rPr>
        <w:t xml:space="preserve"> 3.389. </w:t>
      </w:r>
      <w:r w:rsidR="00FE2B1D">
        <w:rPr>
          <w:rFonts w:ascii="Thorndale for VST" w:hAnsi="Thorndale for VST" w:cs="Thorndale for VST"/>
        </w:rPr>
        <w:t>Intel reduced its Current ratio</w:t>
      </w:r>
      <w:r w:rsidR="00747A71">
        <w:rPr>
          <w:rFonts w:ascii="Thorndale for VST" w:hAnsi="Thorndale for VST" w:cs="Thorndale for VST"/>
        </w:rPr>
        <w:t xml:space="preserve"> in 2</w:t>
      </w:r>
      <w:r w:rsidR="00FF6A4E">
        <w:rPr>
          <w:rFonts w:ascii="Thorndale for VST" w:hAnsi="Thorndale for VST" w:cs="Thorndale for VST"/>
        </w:rPr>
        <w:t>011</w:t>
      </w:r>
      <w:r w:rsidR="00D37C7D">
        <w:rPr>
          <w:rFonts w:ascii="Thorndale for VST" w:hAnsi="Thorndale for VST" w:cs="Thorndale for VST"/>
        </w:rPr>
        <w:t xml:space="preserve"> </w:t>
      </w:r>
      <w:sdt>
        <w:sdtPr>
          <w:rPr>
            <w:rFonts w:ascii="Thorndale for VST" w:hAnsi="Thorndale for VST" w:cs="Thorndale for VST"/>
          </w:rPr>
          <w:id w:val="443115963"/>
          <w:citation/>
        </w:sdtPr>
        <w:sdtEndPr/>
        <w:sdtContent>
          <w:r w:rsidR="00D37C7D">
            <w:rPr>
              <w:rFonts w:ascii="Thorndale for VST" w:hAnsi="Thorndale for VST" w:cs="Thorndale for VST"/>
            </w:rPr>
            <w:fldChar w:fldCharType="begin"/>
          </w:r>
          <w:r w:rsidR="00D37C7D">
            <w:rPr>
              <w:rFonts w:ascii="Thorndale for VST" w:hAnsi="Thorndale for VST" w:cs="Thorndale for VST"/>
            </w:rPr>
            <w:instrText xml:space="preserve"> CITATION Int124 \l 1033 </w:instrText>
          </w:r>
          <w:r w:rsidR="00D37C7D">
            <w:rPr>
              <w:rFonts w:ascii="Thorndale for VST" w:hAnsi="Thorndale for VST" w:cs="Thorndale for VST"/>
            </w:rPr>
            <w:fldChar w:fldCharType="separate"/>
          </w:r>
          <w:r w:rsidR="00D37C7D" w:rsidRPr="00D37C7D">
            <w:rPr>
              <w:rFonts w:ascii="Thorndale for VST" w:hAnsi="Thorndale for VST" w:cs="Thorndale for VST"/>
              <w:noProof/>
            </w:rPr>
            <w:t>(Intel Corporation Current Ratio, 2012)</w:t>
          </w:r>
          <w:r w:rsidR="00D37C7D">
            <w:rPr>
              <w:rFonts w:ascii="Thorndale for VST" w:hAnsi="Thorndale for VST" w:cs="Thorndale for VST"/>
            </w:rPr>
            <w:fldChar w:fldCharType="end"/>
          </w:r>
        </w:sdtContent>
      </w:sdt>
      <w:r w:rsidR="004E209A">
        <w:rPr>
          <w:rFonts w:ascii="Thorndale for VST" w:hAnsi="Thorndale for VST" w:cs="Thorndale for VST"/>
        </w:rPr>
        <w:t xml:space="preserve">. The Quick ratio in 2011 was 1.54 and 2010 was at 2.65. The Quick ratio for Intel deteriorated in 2011. The deterioration </w:t>
      </w:r>
      <w:r w:rsidR="00AA3EAC">
        <w:rPr>
          <w:rFonts w:ascii="Thorndale for VST" w:hAnsi="Thorndale for VST" w:cs="Thorndale for VST"/>
        </w:rPr>
        <w:t>and low Quick ratio indicate</w:t>
      </w:r>
      <w:r w:rsidR="004E209A">
        <w:rPr>
          <w:rFonts w:ascii="Thorndale for VST" w:hAnsi="Thorndale for VST" w:cs="Thorndale for VST"/>
        </w:rPr>
        <w:t xml:space="preserve"> that Intel’s </w:t>
      </w:r>
      <w:r w:rsidR="00AA3EAC">
        <w:rPr>
          <w:rFonts w:ascii="Thorndale for VST" w:hAnsi="Thorndale for VST" w:cs="Thorndale for VST"/>
        </w:rPr>
        <w:t xml:space="preserve">is not in a good position on its ability </w:t>
      </w:r>
      <w:r w:rsidR="004E0DDA">
        <w:rPr>
          <w:rFonts w:ascii="Thorndale for VST" w:hAnsi="Thorndale for VST" w:cs="Thorndale for VST"/>
        </w:rPr>
        <w:t>to meet</w:t>
      </w:r>
      <w:r w:rsidR="004E209A">
        <w:rPr>
          <w:rFonts w:ascii="Thorndale for VST" w:hAnsi="Thorndale for VST" w:cs="Thorndale for VST"/>
        </w:rPr>
        <w:t xml:space="preserve"> short-term oblig</w:t>
      </w:r>
      <w:r w:rsidR="00AA3EAC">
        <w:rPr>
          <w:rFonts w:ascii="Thorndale for VST" w:hAnsi="Thorndale for VST" w:cs="Thorndale for VST"/>
        </w:rPr>
        <w:t xml:space="preserve">ations </w:t>
      </w:r>
      <w:sdt>
        <w:sdtPr>
          <w:rPr>
            <w:rFonts w:ascii="Thorndale for VST" w:hAnsi="Thorndale for VST" w:cs="Thorndale for VST"/>
          </w:rPr>
          <w:id w:val="1331097377"/>
          <w:citation/>
        </w:sdtPr>
        <w:sdtEndPr/>
        <w:sdtContent>
          <w:r w:rsidR="00AA3EAC">
            <w:rPr>
              <w:rFonts w:ascii="Thorndale for VST" w:hAnsi="Thorndale for VST" w:cs="Thorndale for VST"/>
            </w:rPr>
            <w:fldChar w:fldCharType="begin"/>
          </w:r>
          <w:r w:rsidR="00AA3EAC">
            <w:rPr>
              <w:rFonts w:ascii="Thorndale for VST" w:hAnsi="Thorndale for VST" w:cs="Thorndale for VST"/>
            </w:rPr>
            <w:instrText xml:space="preserve"> CITATION Sto121 \l 1033 </w:instrText>
          </w:r>
          <w:r w:rsidR="00AA3EAC">
            <w:rPr>
              <w:rFonts w:ascii="Thorndale for VST" w:hAnsi="Thorndale for VST" w:cs="Thorndale for VST"/>
            </w:rPr>
            <w:fldChar w:fldCharType="separate"/>
          </w:r>
          <w:r w:rsidR="00AA3EAC" w:rsidRPr="00AA3EAC">
            <w:rPr>
              <w:rFonts w:ascii="Thorndale for VST" w:hAnsi="Thorndale for VST" w:cs="Thorndale for VST"/>
              <w:noProof/>
            </w:rPr>
            <w:t>(Stock Analysis on the Net, 2012)</w:t>
          </w:r>
          <w:r w:rsidR="00AA3EAC">
            <w:rPr>
              <w:rFonts w:ascii="Thorndale for VST" w:hAnsi="Thorndale for VST" w:cs="Thorndale for VST"/>
            </w:rPr>
            <w:fldChar w:fldCharType="end"/>
          </w:r>
        </w:sdtContent>
      </w:sdt>
      <w:r w:rsidR="00AA3EAC">
        <w:rPr>
          <w:rFonts w:ascii="Thorndale for VST" w:hAnsi="Thorndale for VST" w:cs="Thorndale for VST"/>
        </w:rPr>
        <w:t xml:space="preserve">. </w:t>
      </w:r>
      <w:r w:rsidR="004E0DDA">
        <w:rPr>
          <w:rFonts w:ascii="Thorndale for VST" w:hAnsi="Thorndale for VST" w:cs="Thorndale for VST"/>
        </w:rPr>
        <w:t>The Net working capital to total assets for In</w:t>
      </w:r>
      <w:r w:rsidR="00411C03">
        <w:rPr>
          <w:rFonts w:ascii="Thorndale for VST" w:hAnsi="Thorndale for VST" w:cs="Thorndale for VST"/>
        </w:rPr>
        <w:t xml:space="preserve">tel in 2011 was 19.47. The positive </w:t>
      </w:r>
      <w:r w:rsidR="00F3633F">
        <w:rPr>
          <w:rFonts w:ascii="Thorndale for VST" w:hAnsi="Thorndale for VST" w:cs="Thorndale for VST"/>
        </w:rPr>
        <w:t xml:space="preserve">ratio of 19.47 </w:t>
      </w:r>
      <w:r w:rsidR="00F3633F">
        <w:rPr>
          <w:rFonts w:ascii="Thorndale for VST" w:hAnsi="Thorndale for VST" w:cs="Thorndale for VST"/>
        </w:rPr>
        <w:lastRenderedPageBreak/>
        <w:t>indicates</w:t>
      </w:r>
      <w:r w:rsidR="00411C03">
        <w:rPr>
          <w:rFonts w:ascii="Thorndale for VST" w:hAnsi="Thorndale for VST" w:cs="Thorndale for VST"/>
        </w:rPr>
        <w:t xml:space="preserve"> that Intel is able to pay off its short-term liabilities. </w:t>
      </w:r>
      <w:r w:rsidR="00F3633F">
        <w:rPr>
          <w:rFonts w:ascii="Thorndale for VST" w:hAnsi="Thorndale for VST" w:cs="Thorndale for VST"/>
        </w:rPr>
        <w:t xml:space="preserve">The Debt-utilization </w:t>
      </w:r>
      <w:r w:rsidR="00FF6A4E">
        <w:rPr>
          <w:rFonts w:ascii="Thorndale for VST" w:hAnsi="Thorndale for VST" w:cs="Thorndale for VST"/>
        </w:rPr>
        <w:t>ratios for Intel are Long-term Debt to equity, Total Debt to Total A</w:t>
      </w:r>
      <w:r w:rsidR="00F3633F">
        <w:rPr>
          <w:rFonts w:ascii="Thorndale for VST" w:hAnsi="Thorndale for VST" w:cs="Thorndale for VST"/>
        </w:rPr>
        <w:t xml:space="preserve">ssets, </w:t>
      </w:r>
      <w:r w:rsidR="00FF6A4E">
        <w:rPr>
          <w:rFonts w:ascii="Thorndale for VST" w:hAnsi="Thorndale for VST" w:cs="Thorndale for VST"/>
          <w:noProof/>
        </w:rPr>
        <w:t>Times Interest Earned, and Fixed Charge C</w:t>
      </w:r>
      <w:r w:rsidR="00F3633F">
        <w:rPr>
          <w:rFonts w:ascii="Thorndale for VST" w:hAnsi="Thorndale for VST" w:cs="Thorndale for VST"/>
          <w:noProof/>
        </w:rPr>
        <w:t xml:space="preserve">overage. </w:t>
      </w:r>
      <w:r w:rsidR="00FF6A4E">
        <w:rPr>
          <w:rFonts w:ascii="Thorndale for VST" w:hAnsi="Thorndale for VST" w:cs="Thorndale for VST"/>
          <w:noProof/>
        </w:rPr>
        <w:t>The Long-term D</w:t>
      </w:r>
      <w:r w:rsidR="008176A3">
        <w:rPr>
          <w:rFonts w:ascii="Thorndale for VST" w:hAnsi="Thorndale for VST" w:cs="Thorndale for VST"/>
          <w:noProof/>
        </w:rPr>
        <w:t xml:space="preserve">ebt to </w:t>
      </w:r>
      <w:r w:rsidR="00FF6A4E">
        <w:rPr>
          <w:rFonts w:ascii="Thorndale for VST" w:hAnsi="Thorndale for VST" w:cs="Thorndale for VST"/>
          <w:noProof/>
        </w:rPr>
        <w:t>E</w:t>
      </w:r>
      <w:r w:rsidR="008176A3">
        <w:rPr>
          <w:rFonts w:ascii="Thorndale for VST" w:hAnsi="Thorndale for VST" w:cs="Thorndale for VST"/>
          <w:noProof/>
        </w:rPr>
        <w:t xml:space="preserve">quity ratio for Intel the year ended December 2011was 0.1597 and December 2010 was 0.0428. The </w:t>
      </w:r>
      <w:r w:rsidR="00FF6A4E">
        <w:rPr>
          <w:rFonts w:ascii="Thorndale for VST" w:hAnsi="Thorndale for VST" w:cs="Thorndale for VST"/>
          <w:noProof/>
        </w:rPr>
        <w:t>Long-term Debt to E</w:t>
      </w:r>
      <w:r w:rsidR="00E66DC0">
        <w:rPr>
          <w:rFonts w:ascii="Thorndale for VST" w:hAnsi="Thorndale for VST" w:cs="Thorndale for VST"/>
          <w:noProof/>
        </w:rPr>
        <w:t>quity ratio indicate the relative proportion of shareholder’s equity and debt used to finance the c</w:t>
      </w:r>
      <w:r w:rsidR="00FF6A4E">
        <w:rPr>
          <w:rFonts w:ascii="Thorndale for VST" w:hAnsi="Thorndale for VST" w:cs="Thorndale for VST"/>
          <w:noProof/>
        </w:rPr>
        <w:t>ompany’s assets. The Long-term Debt to E</w:t>
      </w:r>
      <w:r w:rsidR="00E66DC0">
        <w:rPr>
          <w:rFonts w:ascii="Thorndale for VST" w:hAnsi="Thorndale for VST" w:cs="Thorndale for VST"/>
          <w:noProof/>
        </w:rPr>
        <w:t xml:space="preserve">quity ratio for Intel increased in 2011, which meant that Intel has been aggressive in financing growth with debt </w:t>
      </w:r>
      <w:sdt>
        <w:sdtPr>
          <w:rPr>
            <w:rFonts w:ascii="Thorndale for VST" w:hAnsi="Thorndale for VST" w:cs="Thorndale for VST"/>
            <w:noProof/>
          </w:rPr>
          <w:id w:val="1846284395"/>
          <w:citation/>
        </w:sdtPr>
        <w:sdtEndPr/>
        <w:sdtContent>
          <w:r w:rsidR="00E66DC0">
            <w:rPr>
              <w:rFonts w:ascii="Thorndale for VST" w:hAnsi="Thorndale for VST" w:cs="Thorndale for VST"/>
              <w:noProof/>
            </w:rPr>
            <w:fldChar w:fldCharType="begin"/>
          </w:r>
          <w:r w:rsidR="00E66DC0">
            <w:rPr>
              <w:rFonts w:ascii="Thorndale for VST" w:hAnsi="Thorndale for VST" w:cs="Thorndale for VST"/>
              <w:noProof/>
            </w:rPr>
            <w:instrText xml:space="preserve"> CITATION Int125 \l 1033 </w:instrText>
          </w:r>
          <w:r w:rsidR="00E66DC0">
            <w:rPr>
              <w:rFonts w:ascii="Thorndale for VST" w:hAnsi="Thorndale for VST" w:cs="Thorndale for VST"/>
              <w:noProof/>
            </w:rPr>
            <w:fldChar w:fldCharType="separate"/>
          </w:r>
          <w:r w:rsidR="00E66DC0" w:rsidRPr="00E66DC0">
            <w:rPr>
              <w:rFonts w:ascii="Thorndale for VST" w:hAnsi="Thorndale for VST" w:cs="Thorndale for VST"/>
              <w:noProof/>
            </w:rPr>
            <w:t>(Intel's Historical Debt to Equity Ratio, 2012)</w:t>
          </w:r>
          <w:r w:rsidR="00E66DC0">
            <w:rPr>
              <w:rFonts w:ascii="Thorndale for VST" w:hAnsi="Thorndale for VST" w:cs="Thorndale for VST"/>
              <w:noProof/>
            </w:rPr>
            <w:fldChar w:fldCharType="end"/>
          </w:r>
        </w:sdtContent>
      </w:sdt>
      <w:r w:rsidR="00E66DC0">
        <w:rPr>
          <w:rFonts w:ascii="Thorndale for VST" w:hAnsi="Thorndale for VST" w:cs="Thorndale for VST"/>
          <w:noProof/>
        </w:rPr>
        <w:t xml:space="preserve">. </w:t>
      </w:r>
      <w:r w:rsidR="008176A3">
        <w:rPr>
          <w:rFonts w:ascii="Thorndale for VST" w:hAnsi="Thorndale for VST" w:cs="Thorndale for VST"/>
          <w:noProof/>
        </w:rPr>
        <w:t xml:space="preserve"> </w:t>
      </w:r>
      <w:r w:rsidR="000D4899">
        <w:rPr>
          <w:rFonts w:ascii="Thorndale for VST" w:hAnsi="Thorndale for VST" w:cs="Thorndale for VST"/>
          <w:noProof/>
        </w:rPr>
        <w:t>Total debt</w:t>
      </w:r>
      <w:r w:rsidR="00337909">
        <w:rPr>
          <w:rFonts w:ascii="Thorndale for VST" w:hAnsi="Thorndale for VST" w:cs="Thorndale for VST"/>
          <w:noProof/>
        </w:rPr>
        <w:t xml:space="preserve"> to total assets for Intel in 2011 and 2010 were 0.2 and 0.0 </w:t>
      </w:r>
      <w:sdt>
        <w:sdtPr>
          <w:rPr>
            <w:rFonts w:ascii="Thorndale for VST" w:hAnsi="Thorndale for VST" w:cs="Thorndale for VST"/>
            <w:noProof/>
          </w:rPr>
          <w:id w:val="1896164671"/>
          <w:citation/>
        </w:sdtPr>
        <w:sdtEndPr/>
        <w:sdtContent>
          <w:r w:rsidR="00337909">
            <w:rPr>
              <w:rFonts w:ascii="Thorndale for VST" w:hAnsi="Thorndale for VST" w:cs="Thorndale for VST"/>
              <w:noProof/>
            </w:rPr>
            <w:fldChar w:fldCharType="begin"/>
          </w:r>
          <w:r w:rsidR="00337909">
            <w:rPr>
              <w:rFonts w:ascii="Thorndale for VST" w:hAnsi="Thorndale for VST" w:cs="Thorndale for VST"/>
              <w:noProof/>
            </w:rPr>
            <w:instrText xml:space="preserve"> CITATION Mor12 \l 1033 </w:instrText>
          </w:r>
          <w:r w:rsidR="00337909">
            <w:rPr>
              <w:rFonts w:ascii="Thorndale for VST" w:hAnsi="Thorndale for VST" w:cs="Thorndale for VST"/>
              <w:noProof/>
            </w:rPr>
            <w:fldChar w:fldCharType="separate"/>
          </w:r>
          <w:r w:rsidR="00337909" w:rsidRPr="00337909">
            <w:rPr>
              <w:rFonts w:ascii="Thorndale for VST" w:hAnsi="Thorndale for VST" w:cs="Thorndale for VST"/>
              <w:noProof/>
            </w:rPr>
            <w:t>(Morningstar, 2012)</w:t>
          </w:r>
          <w:r w:rsidR="00337909">
            <w:rPr>
              <w:rFonts w:ascii="Thorndale for VST" w:hAnsi="Thorndale for VST" w:cs="Thorndale for VST"/>
              <w:noProof/>
            </w:rPr>
            <w:fldChar w:fldCharType="end"/>
          </w:r>
        </w:sdtContent>
      </w:sdt>
      <w:r w:rsidR="00337909">
        <w:rPr>
          <w:rFonts w:ascii="Thorndale for VST" w:hAnsi="Thorndale for VST" w:cs="Thorndale for VST"/>
          <w:noProof/>
        </w:rPr>
        <w:t xml:space="preserve">. Times interest earned for Intel for the fiscal year ended December 2011 and 2010 were </w:t>
      </w:r>
      <w:r w:rsidR="00F537F7">
        <w:rPr>
          <w:rFonts w:ascii="Thorndale for VST" w:hAnsi="Thorndale for VST" w:cs="Thorndale for VST"/>
          <w:noProof/>
        </w:rPr>
        <w:t>not available online.</w:t>
      </w:r>
      <w:r w:rsidR="004674F5">
        <w:rPr>
          <w:rFonts w:ascii="Thorndale for VST" w:hAnsi="Thorndale for VST" w:cs="Thorndale for VST"/>
          <w:noProof/>
        </w:rPr>
        <w:t xml:space="preserve"> The Price ratios for Intel are the Price to earnings, Price to book value, and Dividends to price (dividend yield).</w:t>
      </w:r>
      <w:r w:rsidR="00673457">
        <w:rPr>
          <w:rFonts w:ascii="Thorndale for VST" w:hAnsi="Thorndale for VST" w:cs="Thorndale for VST"/>
          <w:noProof/>
        </w:rPr>
        <w:t xml:space="preserve"> The Price to earnin</w:t>
      </w:r>
      <w:r w:rsidR="00892AD1">
        <w:rPr>
          <w:rFonts w:ascii="Thorndale for VST" w:hAnsi="Thorndale for VST" w:cs="Thorndale for VST"/>
          <w:noProof/>
        </w:rPr>
        <w:t>g</w:t>
      </w:r>
      <w:r w:rsidR="00673457">
        <w:rPr>
          <w:rFonts w:ascii="Thorndale for VST" w:hAnsi="Thorndale for VST" w:cs="Thorndale for VST"/>
          <w:noProof/>
        </w:rPr>
        <w:t xml:space="preserve">s ratio for Intel were 10.15 for the year ended December 2011 and 10.46 for the year ended December 2010. The Price to earnings ratio decreased in 2011 from 2010. </w:t>
      </w:r>
      <w:r w:rsidR="008F2B9A">
        <w:rPr>
          <w:rFonts w:ascii="Thorndale for VST" w:hAnsi="Thorndale for VST" w:cs="Thorndale for VST"/>
          <w:noProof/>
        </w:rPr>
        <w:t xml:space="preserve">The PE ratio shows current investor demand for a company share. The decreased in the PE ratio for Intel indicate that demand for the company had also decreased </w:t>
      </w:r>
      <w:sdt>
        <w:sdtPr>
          <w:rPr>
            <w:rFonts w:ascii="Thorndale for VST" w:hAnsi="Thorndale for VST" w:cs="Thorndale for VST"/>
            <w:noProof/>
          </w:rPr>
          <w:id w:val="9966823"/>
          <w:citation/>
        </w:sdtPr>
        <w:sdtEndPr/>
        <w:sdtContent>
          <w:r w:rsidR="008F2B9A">
            <w:rPr>
              <w:rFonts w:ascii="Thorndale for VST" w:hAnsi="Thorndale for VST" w:cs="Thorndale for VST"/>
              <w:noProof/>
            </w:rPr>
            <w:fldChar w:fldCharType="begin"/>
          </w:r>
          <w:r w:rsidR="008F2B9A">
            <w:rPr>
              <w:rFonts w:ascii="Thorndale for VST" w:hAnsi="Thorndale for VST" w:cs="Thorndale for VST"/>
              <w:noProof/>
            </w:rPr>
            <w:instrText xml:space="preserve"> CITATION Int126 \l 1033 </w:instrText>
          </w:r>
          <w:r w:rsidR="008F2B9A">
            <w:rPr>
              <w:rFonts w:ascii="Thorndale for VST" w:hAnsi="Thorndale for VST" w:cs="Thorndale for VST"/>
              <w:noProof/>
            </w:rPr>
            <w:fldChar w:fldCharType="separate"/>
          </w:r>
          <w:r w:rsidR="008F2B9A" w:rsidRPr="008F2B9A">
            <w:rPr>
              <w:rFonts w:ascii="Thorndale for VST" w:hAnsi="Thorndale for VST" w:cs="Thorndale for VST"/>
              <w:noProof/>
            </w:rPr>
            <w:t>(Intel Corporation Current PE ratio, 2012)</w:t>
          </w:r>
          <w:r w:rsidR="008F2B9A">
            <w:rPr>
              <w:rFonts w:ascii="Thorndale for VST" w:hAnsi="Thorndale for VST" w:cs="Thorndale for VST"/>
              <w:noProof/>
            </w:rPr>
            <w:fldChar w:fldCharType="end"/>
          </w:r>
        </w:sdtContent>
      </w:sdt>
      <w:r w:rsidR="008F2B9A">
        <w:rPr>
          <w:rFonts w:ascii="Thorndale for VST" w:hAnsi="Thorndale for VST" w:cs="Thorndale for VST"/>
          <w:noProof/>
        </w:rPr>
        <w:t>. The Pri</w:t>
      </w:r>
      <w:r w:rsidR="005C6338">
        <w:rPr>
          <w:rFonts w:ascii="Thorndale for VST" w:hAnsi="Thorndale for VST" w:cs="Thorndale for VST"/>
          <w:noProof/>
        </w:rPr>
        <w:t>ce to book value for Intel were</w:t>
      </w:r>
      <w:r w:rsidR="005837CB">
        <w:rPr>
          <w:rFonts w:ascii="Thorndale for VST" w:hAnsi="Thorndale for VST" w:cs="Thorndale for VST"/>
          <w:noProof/>
        </w:rPr>
        <w:t xml:space="preserve"> 2.690 for 2011 and 2.372 for 2010. The Price to book value for Intel increased in 2011 </w:t>
      </w:r>
      <w:r w:rsidR="00294A46">
        <w:rPr>
          <w:rFonts w:ascii="Thorndale for VST" w:hAnsi="Thorndale for VST" w:cs="Thorndale for VST"/>
          <w:noProof/>
        </w:rPr>
        <w:t xml:space="preserve">indicating that the company’s stock is not undervalued and might not be as desirable to some investors </w:t>
      </w:r>
      <w:sdt>
        <w:sdtPr>
          <w:rPr>
            <w:rFonts w:ascii="Thorndale for VST" w:hAnsi="Thorndale for VST" w:cs="Thorndale for VST"/>
            <w:noProof/>
          </w:rPr>
          <w:id w:val="-1772535772"/>
          <w:citation/>
        </w:sdtPr>
        <w:sdtEndPr/>
        <w:sdtContent>
          <w:r w:rsidR="00294A46">
            <w:rPr>
              <w:rFonts w:ascii="Thorndale for VST" w:hAnsi="Thorndale for VST" w:cs="Thorndale for VST"/>
              <w:noProof/>
            </w:rPr>
            <w:fldChar w:fldCharType="begin"/>
          </w:r>
          <w:r w:rsidR="00294A46">
            <w:rPr>
              <w:rFonts w:ascii="Thorndale for VST" w:hAnsi="Thorndale for VST" w:cs="Thorndale for VST"/>
              <w:noProof/>
            </w:rPr>
            <w:instrText xml:space="preserve"> CITATION Int128 \l 1033 </w:instrText>
          </w:r>
          <w:r w:rsidR="00294A46">
            <w:rPr>
              <w:rFonts w:ascii="Thorndale for VST" w:hAnsi="Thorndale for VST" w:cs="Thorndale for VST"/>
              <w:noProof/>
            </w:rPr>
            <w:fldChar w:fldCharType="separate"/>
          </w:r>
          <w:r w:rsidR="00294A46" w:rsidRPr="00294A46">
            <w:rPr>
              <w:rFonts w:ascii="Thorndale for VST" w:hAnsi="Thorndale for VST" w:cs="Thorndale for VST"/>
              <w:noProof/>
            </w:rPr>
            <w:t>(Intel Corporation Price/Book Value, 2012)</w:t>
          </w:r>
          <w:r w:rsidR="00294A46">
            <w:rPr>
              <w:rFonts w:ascii="Thorndale for VST" w:hAnsi="Thorndale for VST" w:cs="Thorndale for VST"/>
              <w:noProof/>
            </w:rPr>
            <w:fldChar w:fldCharType="end"/>
          </w:r>
        </w:sdtContent>
      </w:sdt>
      <w:r w:rsidR="00625D2D">
        <w:rPr>
          <w:rFonts w:ascii="Thorndale for VST" w:hAnsi="Thorndale for VST" w:cs="Thorndale for VST"/>
          <w:noProof/>
        </w:rPr>
        <w:t>.</w:t>
      </w:r>
      <w:r w:rsidR="008F2B9A">
        <w:rPr>
          <w:rFonts w:ascii="Thorndale for VST" w:hAnsi="Thorndale for VST" w:cs="Thorndale for VST"/>
          <w:noProof/>
        </w:rPr>
        <w:t xml:space="preserve"> </w:t>
      </w:r>
      <w:r w:rsidR="00990E5B">
        <w:rPr>
          <w:rFonts w:ascii="Thorndale for VST" w:hAnsi="Thorndale for VST" w:cs="Thorndale for VST"/>
          <w:noProof/>
        </w:rPr>
        <w:t>Dividends to price for Intel were 3.23 percent for 2011 and 3.00 percent for 2010. The dividend yield for Intel increased in 2011 compare to the previous year</w:t>
      </w:r>
      <w:r w:rsidR="005C6338">
        <w:rPr>
          <w:rFonts w:ascii="Thorndale for VST" w:hAnsi="Thorndale for VST" w:cs="Thorndale for VST"/>
          <w:noProof/>
        </w:rPr>
        <w:t xml:space="preserve"> </w:t>
      </w:r>
      <w:sdt>
        <w:sdtPr>
          <w:rPr>
            <w:rFonts w:ascii="Thorndale for VST" w:hAnsi="Thorndale for VST" w:cs="Thorndale for VST"/>
            <w:noProof/>
          </w:rPr>
          <w:id w:val="749001157"/>
          <w:citation/>
        </w:sdtPr>
        <w:sdtEndPr/>
        <w:sdtContent>
          <w:r w:rsidR="005C6338">
            <w:rPr>
              <w:rFonts w:ascii="Thorndale for VST" w:hAnsi="Thorndale for VST" w:cs="Thorndale for VST"/>
              <w:noProof/>
            </w:rPr>
            <w:fldChar w:fldCharType="begin"/>
          </w:r>
          <w:r w:rsidR="005C6338">
            <w:rPr>
              <w:rFonts w:ascii="Thorndale for VST" w:hAnsi="Thorndale for VST" w:cs="Thorndale for VST"/>
              <w:noProof/>
            </w:rPr>
            <w:instrText xml:space="preserve"> CITATION Int127 \l 1033 </w:instrText>
          </w:r>
          <w:r w:rsidR="005C6338">
            <w:rPr>
              <w:rFonts w:ascii="Thorndale for VST" w:hAnsi="Thorndale for VST" w:cs="Thorndale for VST"/>
              <w:noProof/>
            </w:rPr>
            <w:fldChar w:fldCharType="separate"/>
          </w:r>
          <w:r w:rsidR="005C6338" w:rsidRPr="005C6338">
            <w:rPr>
              <w:rFonts w:ascii="Thorndale for VST" w:hAnsi="Thorndale for VST" w:cs="Thorndale for VST"/>
              <w:noProof/>
            </w:rPr>
            <w:t>(Intel Corporation Historical Dividend Yield Data, 2012)</w:t>
          </w:r>
          <w:r w:rsidR="005C6338">
            <w:rPr>
              <w:rFonts w:ascii="Thorndale for VST" w:hAnsi="Thorndale for VST" w:cs="Thorndale for VST"/>
              <w:noProof/>
            </w:rPr>
            <w:fldChar w:fldCharType="end"/>
          </w:r>
        </w:sdtContent>
      </w:sdt>
      <w:r w:rsidR="00990E5B">
        <w:rPr>
          <w:rFonts w:ascii="Thorndale for VST" w:hAnsi="Thorndale for VST" w:cs="Thorndale for VST"/>
          <w:noProof/>
        </w:rPr>
        <w:t xml:space="preserve">. </w:t>
      </w:r>
      <w:r w:rsidR="005C6338">
        <w:rPr>
          <w:rFonts w:ascii="Thorndale for VST" w:hAnsi="Thorndale for VST" w:cs="Thorndale for VST"/>
          <w:noProof/>
        </w:rPr>
        <w:t xml:space="preserve">Other ratios that concern </w:t>
      </w:r>
      <w:r w:rsidR="005C6338">
        <w:rPr>
          <w:rFonts w:ascii="Thorndale for VST" w:hAnsi="Thorndale for VST" w:cs="Thorndale for VST"/>
          <w:noProof/>
        </w:rPr>
        <w:lastRenderedPageBreak/>
        <w:t>Intel are the Average tax rate and the Dividend payout ratio</w:t>
      </w:r>
      <w:r w:rsidR="00294A46">
        <w:rPr>
          <w:rFonts w:ascii="Thorndale for VST" w:hAnsi="Thorndale for VST" w:cs="Thorndale for VST"/>
          <w:noProof/>
        </w:rPr>
        <w:t xml:space="preserve">. According to data available through Intel’s Annual report website, Intel only indicated data for 2010 and 2009 which were most recent. The effective tax rate for Intel for 2010 was </w:t>
      </w:r>
      <w:r w:rsidR="00EE521D">
        <w:rPr>
          <w:rFonts w:ascii="Thorndale for VST" w:hAnsi="Thorndale for VST" w:cs="Thorndale for VST"/>
          <w:noProof/>
        </w:rPr>
        <w:t>28.6 percent and for 2009 at 23.4 percent. The higher tax percentage of profits for 2010 were generated from the company’s higher tax</w:t>
      </w:r>
      <w:r w:rsidR="007B342B">
        <w:rPr>
          <w:rFonts w:ascii="Thorndale for VST" w:hAnsi="Thorndale for VST" w:cs="Thorndale for VST"/>
          <w:noProof/>
        </w:rPr>
        <w:t xml:space="preserve"> jurisdictions</w:t>
      </w:r>
      <w:r w:rsidR="00EE521D">
        <w:rPr>
          <w:rFonts w:ascii="Thorndale for VST" w:hAnsi="Thorndale for VST" w:cs="Thorndale for VST"/>
          <w:noProof/>
        </w:rPr>
        <w:t xml:space="preserve"> </w:t>
      </w:r>
      <w:sdt>
        <w:sdtPr>
          <w:rPr>
            <w:rFonts w:ascii="Thorndale for VST" w:hAnsi="Thorndale for VST" w:cs="Thorndale for VST"/>
            <w:noProof/>
          </w:rPr>
          <w:id w:val="-1878463654"/>
          <w:citation/>
        </w:sdtPr>
        <w:sdtEndPr/>
        <w:sdtContent>
          <w:r w:rsidR="00EE521D">
            <w:rPr>
              <w:rFonts w:ascii="Thorndale for VST" w:hAnsi="Thorndale for VST" w:cs="Thorndale for VST"/>
              <w:noProof/>
            </w:rPr>
            <w:fldChar w:fldCharType="begin"/>
          </w:r>
          <w:r w:rsidR="00EE521D">
            <w:rPr>
              <w:rFonts w:ascii="Thorndale for VST" w:hAnsi="Thorndale for VST" w:cs="Thorndale for VST"/>
              <w:noProof/>
            </w:rPr>
            <w:instrText xml:space="preserve"> CITATION Int129 \l 1033 </w:instrText>
          </w:r>
          <w:r w:rsidR="00EE521D">
            <w:rPr>
              <w:rFonts w:ascii="Thorndale for VST" w:hAnsi="Thorndale for VST" w:cs="Thorndale for VST"/>
              <w:noProof/>
            </w:rPr>
            <w:fldChar w:fldCharType="separate"/>
          </w:r>
          <w:r w:rsidR="00EE521D" w:rsidRPr="00EE521D">
            <w:rPr>
              <w:rFonts w:ascii="Thorndale for VST" w:hAnsi="Thorndale for VST" w:cs="Thorndale for VST"/>
              <w:noProof/>
            </w:rPr>
            <w:t>(Intel 2010 Annual Report, 2012)</w:t>
          </w:r>
          <w:r w:rsidR="00EE521D">
            <w:rPr>
              <w:rFonts w:ascii="Thorndale for VST" w:hAnsi="Thorndale for VST" w:cs="Thorndale for VST"/>
              <w:noProof/>
            </w:rPr>
            <w:fldChar w:fldCharType="end"/>
          </w:r>
        </w:sdtContent>
      </w:sdt>
      <w:r w:rsidR="007B342B">
        <w:rPr>
          <w:rFonts w:ascii="Thorndale for VST" w:hAnsi="Thorndale for VST" w:cs="Thorndale for VST"/>
          <w:noProof/>
        </w:rPr>
        <w:t xml:space="preserve">. The Dividend payout ratio for Intel for the present time is at 33 percent </w:t>
      </w:r>
      <w:sdt>
        <w:sdtPr>
          <w:rPr>
            <w:rFonts w:ascii="Thorndale for VST" w:hAnsi="Thorndale for VST" w:cs="Thorndale for VST"/>
            <w:noProof/>
          </w:rPr>
          <w:id w:val="1484426568"/>
          <w:citation/>
        </w:sdtPr>
        <w:sdtEndPr/>
        <w:sdtContent>
          <w:r w:rsidR="007B342B">
            <w:rPr>
              <w:rFonts w:ascii="Thorndale for VST" w:hAnsi="Thorndale for VST" w:cs="Thorndale for VST"/>
              <w:noProof/>
            </w:rPr>
            <w:fldChar w:fldCharType="begin"/>
          </w:r>
          <w:r w:rsidR="007B342B">
            <w:rPr>
              <w:rFonts w:ascii="Thorndale for VST" w:hAnsi="Thorndale for VST" w:cs="Thorndale for VST"/>
              <w:noProof/>
            </w:rPr>
            <w:instrText xml:space="preserve"> CITATION ADV12 \l 1033 </w:instrText>
          </w:r>
          <w:r w:rsidR="007B342B">
            <w:rPr>
              <w:rFonts w:ascii="Thorndale for VST" w:hAnsi="Thorndale for VST" w:cs="Thorndale for VST"/>
              <w:noProof/>
            </w:rPr>
            <w:fldChar w:fldCharType="separate"/>
          </w:r>
          <w:r w:rsidR="007B342B" w:rsidRPr="007B342B">
            <w:rPr>
              <w:rFonts w:ascii="Thorndale for VST" w:hAnsi="Thorndale for VST" w:cs="Thorndale for VST"/>
              <w:noProof/>
            </w:rPr>
            <w:t>(advfn.com, 2012)</w:t>
          </w:r>
          <w:r w:rsidR="007B342B">
            <w:rPr>
              <w:rFonts w:ascii="Thorndale for VST" w:hAnsi="Thorndale for VST" w:cs="Thorndale for VST"/>
              <w:noProof/>
            </w:rPr>
            <w:fldChar w:fldCharType="end"/>
          </w:r>
        </w:sdtContent>
      </w:sdt>
      <w:r w:rsidR="007B342B">
        <w:rPr>
          <w:rFonts w:ascii="Thorndale for VST" w:hAnsi="Thorndale for VST" w:cs="Thorndale for VST"/>
          <w:noProof/>
        </w:rPr>
        <w:t>.</w:t>
      </w:r>
      <w:r w:rsidR="00EE521D">
        <w:rPr>
          <w:rFonts w:ascii="Thorndale for VST" w:hAnsi="Thorndale for VST" w:cs="Thorndale for VST"/>
          <w:noProof/>
        </w:rPr>
        <w:t xml:space="preserve"> </w:t>
      </w:r>
      <w:r w:rsidR="00217819">
        <w:rPr>
          <w:rFonts w:ascii="Thorndale for VST" w:hAnsi="Thorndale for VST" w:cs="Thorndale for VST"/>
          <w:noProof/>
        </w:rPr>
        <w:t>The industry norm</w:t>
      </w:r>
      <w:r w:rsidR="007C57BB">
        <w:rPr>
          <w:rFonts w:ascii="Thorndale for VST" w:hAnsi="Thorndale for VST" w:cs="Thorndale for VST"/>
          <w:noProof/>
        </w:rPr>
        <w:t xml:space="preserve"> for the net profit margin is 17.2 percent, return on equity stands at 23.5 percent for the industry</w:t>
      </w:r>
      <w:r w:rsidR="000342D1">
        <w:rPr>
          <w:rFonts w:ascii="Thorndale for VST" w:hAnsi="Thorndale for VST" w:cs="Thorndale for VST"/>
          <w:noProof/>
        </w:rPr>
        <w:t xml:space="preserve"> currently for the year 2012</w:t>
      </w:r>
      <w:r w:rsidR="007C57BB">
        <w:rPr>
          <w:rFonts w:ascii="Thorndale for VST" w:hAnsi="Thorndale for VST" w:cs="Thorndale for VST"/>
          <w:noProof/>
        </w:rPr>
        <w:t xml:space="preserve">. </w:t>
      </w:r>
      <w:r w:rsidR="00997E4F">
        <w:rPr>
          <w:rFonts w:ascii="Thorndale for VST" w:hAnsi="Thorndale for VST" w:cs="Thorndale for VST"/>
          <w:noProof/>
        </w:rPr>
        <w:t>Intel’s return on equity performance is higher than the average industry; however Intel’s return on as</w:t>
      </w:r>
      <w:r w:rsidR="000342D1">
        <w:rPr>
          <w:rFonts w:ascii="Thorndale for VST" w:hAnsi="Thorndale for VST" w:cs="Thorndale for VST"/>
          <w:noProof/>
        </w:rPr>
        <w:t>sets is</w:t>
      </w:r>
      <w:r w:rsidR="00997E4F">
        <w:rPr>
          <w:rFonts w:ascii="Thorndale for VST" w:hAnsi="Thorndale for VST" w:cs="Thorndale for VST"/>
          <w:noProof/>
        </w:rPr>
        <w:t xml:space="preserve"> below the industry norm at </w:t>
      </w:r>
      <w:r w:rsidR="000342D1">
        <w:rPr>
          <w:rFonts w:ascii="Thorndale for VST" w:hAnsi="Thorndale for VST" w:cs="Thorndale for VST"/>
          <w:noProof/>
        </w:rPr>
        <w:t>the current 15.7 percent. The asset-utiliz</w:t>
      </w:r>
      <w:r w:rsidR="00342EF3">
        <w:rPr>
          <w:rFonts w:ascii="Thorndale for VST" w:hAnsi="Thorndale for VST" w:cs="Thorndale for VST"/>
          <w:noProof/>
        </w:rPr>
        <w:t xml:space="preserve">ation ratio for the industry </w:t>
      </w:r>
      <w:r w:rsidR="000342D1">
        <w:rPr>
          <w:rFonts w:ascii="Thorndale for VST" w:hAnsi="Thorndale for VST" w:cs="Thorndale for VST"/>
          <w:noProof/>
        </w:rPr>
        <w:t xml:space="preserve">for receivables turnover is 7.32 percent for 2011 and </w:t>
      </w:r>
      <w:r w:rsidR="00342EF3">
        <w:rPr>
          <w:rFonts w:ascii="Thorndale for VST" w:hAnsi="Thorndale for VST" w:cs="Thorndale for VST"/>
          <w:noProof/>
        </w:rPr>
        <w:t xml:space="preserve">7.16 for 2010. Intel’s performance in the receivables turnover ratio is better than the industry but it deteriorated within the company from 2010 to 2011. Intel’s inventory turnover ratio improved in 2011 but is well below the industry norm of 20.18 for 2011. </w:t>
      </w:r>
      <w:r w:rsidR="00073B99">
        <w:rPr>
          <w:rFonts w:ascii="Thorndale for VST" w:hAnsi="Thorndale for VST" w:cs="Thorndale for VST"/>
          <w:noProof/>
        </w:rPr>
        <w:t>Intel’s ranks number 17</w:t>
      </w:r>
      <w:r w:rsidR="00073B99" w:rsidRPr="00073B99">
        <w:rPr>
          <w:rFonts w:ascii="Thorndale for VST" w:hAnsi="Thorndale for VST" w:cs="Thorndale for VST"/>
          <w:noProof/>
          <w:vertAlign w:val="superscript"/>
        </w:rPr>
        <w:t>th</w:t>
      </w:r>
      <w:r w:rsidR="00073B99">
        <w:rPr>
          <w:rFonts w:ascii="Thorndale for VST" w:hAnsi="Thorndale for VST" w:cs="Thorndale for VST"/>
          <w:noProof/>
        </w:rPr>
        <w:t xml:space="preserve"> on its current ratio</w:t>
      </w:r>
      <w:r w:rsidR="00533136">
        <w:rPr>
          <w:rFonts w:ascii="Thorndale for VST" w:hAnsi="Thorndale for VST" w:cs="Thorndale for VST"/>
          <w:noProof/>
        </w:rPr>
        <w:t xml:space="preserve"> at 2.447</w:t>
      </w:r>
      <w:r w:rsidR="00073B99">
        <w:rPr>
          <w:rFonts w:ascii="Thorndale for VST" w:hAnsi="Thorndale for VST" w:cs="Thorndale for VST"/>
          <w:noProof/>
        </w:rPr>
        <w:t xml:space="preserve"> within the semiconductor industry-broadline</w:t>
      </w:r>
      <w:r w:rsidR="00533136">
        <w:rPr>
          <w:rFonts w:ascii="Thorndale for VST" w:hAnsi="Thorndale for VST" w:cs="Thorndale for VST"/>
          <w:noProof/>
        </w:rPr>
        <w:t>, slightly below the industry average</w:t>
      </w:r>
      <w:r w:rsidR="008B512A">
        <w:rPr>
          <w:rFonts w:ascii="Thorndale for VST" w:hAnsi="Thorndale for VST" w:cs="Thorndale for VST"/>
          <w:noProof/>
        </w:rPr>
        <w:t xml:space="preserve"> </w:t>
      </w:r>
      <w:sdt>
        <w:sdtPr>
          <w:rPr>
            <w:rFonts w:ascii="Thorndale for VST" w:hAnsi="Thorndale for VST" w:cs="Thorndale for VST"/>
            <w:noProof/>
          </w:rPr>
          <w:id w:val="770043589"/>
          <w:citation/>
        </w:sdtPr>
        <w:sdtEndPr/>
        <w:sdtContent>
          <w:r w:rsidR="008B512A">
            <w:rPr>
              <w:rFonts w:ascii="Thorndale for VST" w:hAnsi="Thorndale for VST" w:cs="Thorndale for VST"/>
              <w:noProof/>
            </w:rPr>
            <w:fldChar w:fldCharType="begin"/>
          </w:r>
          <w:r w:rsidR="008B512A">
            <w:rPr>
              <w:rFonts w:ascii="Thorndale for VST" w:hAnsi="Thorndale for VST" w:cs="Thorndale for VST"/>
              <w:noProof/>
            </w:rPr>
            <w:instrText xml:space="preserve"> CITATION Cur122 \l 1033 </w:instrText>
          </w:r>
          <w:r w:rsidR="008B512A">
            <w:rPr>
              <w:rFonts w:ascii="Thorndale for VST" w:hAnsi="Thorndale for VST" w:cs="Thorndale for VST"/>
              <w:noProof/>
            </w:rPr>
            <w:fldChar w:fldCharType="separate"/>
          </w:r>
          <w:r w:rsidR="008B512A" w:rsidRPr="008B512A">
            <w:rPr>
              <w:rFonts w:ascii="Thorndale for VST" w:hAnsi="Thorndale for VST" w:cs="Thorndale for VST"/>
              <w:noProof/>
            </w:rPr>
            <w:t>(Current Rankings for Semiconductor, 2012)</w:t>
          </w:r>
          <w:r w:rsidR="008B512A">
            <w:rPr>
              <w:rFonts w:ascii="Thorndale for VST" w:hAnsi="Thorndale for VST" w:cs="Thorndale for VST"/>
              <w:noProof/>
            </w:rPr>
            <w:fldChar w:fldCharType="end"/>
          </w:r>
        </w:sdtContent>
      </w:sdt>
      <w:r w:rsidR="00533136">
        <w:rPr>
          <w:rFonts w:ascii="Thorndale for VST" w:hAnsi="Thorndale for VST" w:cs="Thorndale for VST"/>
          <w:noProof/>
        </w:rPr>
        <w:t xml:space="preserve">. </w:t>
      </w:r>
      <w:r w:rsidR="00073B99">
        <w:rPr>
          <w:rFonts w:ascii="Thorndale for VST" w:hAnsi="Thorndale for VST" w:cs="Thorndale for VST"/>
          <w:noProof/>
        </w:rPr>
        <w:t xml:space="preserve"> </w:t>
      </w:r>
      <w:r w:rsidR="00533136">
        <w:rPr>
          <w:rFonts w:ascii="Thorndale for VST" w:hAnsi="Thorndale for VST" w:cs="Thorndale for VST"/>
          <w:noProof/>
        </w:rPr>
        <w:t xml:space="preserve">Intel is performing well above the industry average for the debt to equity ratio. </w:t>
      </w:r>
      <w:r w:rsidR="00186426">
        <w:rPr>
          <w:rFonts w:ascii="Thorndale for VST" w:hAnsi="Thorndale for VST" w:cs="Thorndale for VST"/>
          <w:noProof/>
        </w:rPr>
        <w:t xml:space="preserve">The price to book value for the industry for 2012 is at 4.1. </w:t>
      </w:r>
      <w:r w:rsidR="00CC28A6">
        <w:rPr>
          <w:rFonts w:ascii="Thorndale for VST" w:hAnsi="Thorndale for VST" w:cs="Thorndale for VST"/>
          <w:noProof/>
        </w:rPr>
        <w:t xml:space="preserve">Intel’s price to book value is below the industry average. </w:t>
      </w:r>
    </w:p>
    <w:p w:rsidR="00683C42" w:rsidRDefault="00683C42" w:rsidP="00C62EBD">
      <w:pPr>
        <w:autoSpaceDE w:val="0"/>
        <w:autoSpaceDN w:val="0"/>
        <w:adjustRightInd w:val="0"/>
        <w:spacing w:before="240" w:line="240" w:lineRule="auto"/>
        <w:rPr>
          <w:rFonts w:ascii="Thorndale for VST" w:hAnsi="Thorndale for VST" w:cs="Thorndale for VST"/>
          <w:b/>
          <w:noProof/>
          <w:sz w:val="32"/>
        </w:rPr>
      </w:pPr>
    </w:p>
    <w:p w:rsidR="00C62EBD" w:rsidRDefault="00C62EBD" w:rsidP="00C62EBD">
      <w:pPr>
        <w:autoSpaceDE w:val="0"/>
        <w:autoSpaceDN w:val="0"/>
        <w:adjustRightInd w:val="0"/>
        <w:spacing w:before="240" w:line="240" w:lineRule="auto"/>
        <w:rPr>
          <w:rFonts w:ascii="Thorndale for VST" w:hAnsi="Thorndale for VST" w:cs="Thorndale for VST"/>
          <w:b/>
          <w:noProof/>
          <w:sz w:val="32"/>
        </w:rPr>
      </w:pPr>
    </w:p>
    <w:p w:rsidR="00C62EBD" w:rsidRDefault="00C62EBD" w:rsidP="00C62EBD">
      <w:pPr>
        <w:autoSpaceDE w:val="0"/>
        <w:autoSpaceDN w:val="0"/>
        <w:adjustRightInd w:val="0"/>
        <w:spacing w:before="240" w:line="240" w:lineRule="auto"/>
        <w:rPr>
          <w:rFonts w:ascii="Thorndale for VST" w:hAnsi="Thorndale for VST" w:cs="Thorndale for VST"/>
          <w:b/>
          <w:noProof/>
          <w:sz w:val="32"/>
        </w:rPr>
      </w:pPr>
    </w:p>
    <w:p w:rsidR="00683C42" w:rsidRPr="00683C42" w:rsidRDefault="00C62EBD" w:rsidP="00AD0680">
      <w:pPr>
        <w:pStyle w:val="Heading1"/>
        <w:jc w:val="center"/>
        <w:rPr>
          <w:noProof/>
          <w:sz w:val="32"/>
        </w:rPr>
      </w:pPr>
      <w:bookmarkStart w:id="5" w:name="_Toc337993505"/>
      <w:r w:rsidRPr="00857C3F">
        <w:rPr>
          <w:noProof/>
          <w:sz w:val="40"/>
        </w:rPr>
        <mc:AlternateContent>
          <mc:Choice Requires="wps">
            <w:drawing>
              <wp:anchor distT="0" distB="0" distL="114300" distR="114300" simplePos="0" relativeHeight="251675648" behindDoc="0" locked="0" layoutInCell="1" allowOverlap="1" wp14:anchorId="7B595EBD" wp14:editId="2E94709F">
                <wp:simplePos x="0" y="0"/>
                <wp:positionH relativeFrom="margin">
                  <wp:posOffset>-95250</wp:posOffset>
                </wp:positionH>
                <wp:positionV relativeFrom="paragraph">
                  <wp:posOffset>-92710</wp:posOffset>
                </wp:positionV>
                <wp:extent cx="6400800" cy="0"/>
                <wp:effectExtent l="57150" t="38100" r="57150" b="95250"/>
                <wp:wrapNone/>
                <wp:docPr id="13" name="Straight Connector 13"/>
                <wp:cNvGraphicFramePr/>
                <a:graphic xmlns:a="http://schemas.openxmlformats.org/drawingml/2006/main">
                  <a:graphicData uri="http://schemas.microsoft.com/office/word/2010/wordprocessingShape">
                    <wps:wsp>
                      <wps:cNvCnPr/>
                      <wps:spPr>
                        <a:xfrm flipV="1">
                          <a:off x="0" y="0"/>
                          <a:ext cx="64008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7.3pt" to="49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" strokecolor="#4f81bd" strokeweight="3pt">
                <v:shadow on="t" color="black" opacity="22937f" origin=",.5" offset="0,.63889mm"/>
                <w10:wrap anchorx="margin"/>
              </v:line>
            </w:pict>
          </mc:Fallback>
        </mc:AlternateContent>
      </w:r>
      <w:r w:rsidRPr="00857C3F">
        <w:rPr>
          <w:noProof/>
        </w:rPr>
        <w:t>Technical Analysis</w:t>
      </w:r>
      <w:bookmarkEnd w:id="5"/>
    </w:p>
    <w:p w:rsidR="00DB64B9" w:rsidRDefault="00683C42" w:rsidP="00C170C0">
      <w:pPr>
        <w:pStyle w:val="Heading1"/>
        <w:rPr>
          <w:noProof/>
        </w:rPr>
      </w:pPr>
      <w:bookmarkStart w:id="6" w:name="_Toc337993506"/>
      <w:r>
        <w:rPr>
          <w:noProof/>
        </w:rPr>
        <w:t>G</w:t>
      </w:r>
      <w:r w:rsidR="00DB64B9">
        <w:rPr>
          <w:noProof/>
        </w:rPr>
        <w:t>raph 1</w:t>
      </w:r>
      <w:bookmarkEnd w:id="6"/>
    </w:p>
    <w:p w:rsidR="003B7406" w:rsidRDefault="009C111B" w:rsidP="00CC28A6">
      <w:pPr>
        <w:autoSpaceDE w:val="0"/>
        <w:autoSpaceDN w:val="0"/>
        <w:adjustRightInd w:val="0"/>
        <w:spacing w:before="240" w:line="480" w:lineRule="auto"/>
        <w:rPr>
          <w:rFonts w:ascii="Thorndale for VST" w:hAnsi="Thorndale for VST" w:cs="Thorndale for VST"/>
          <w:noProof/>
        </w:rPr>
      </w:pPr>
      <w:r>
        <w:rPr>
          <w:rFonts w:ascii="Thorndale for VST" w:hAnsi="Thorndale for VST" w:cs="Thorndale for VST"/>
          <w:noProof/>
        </w:rPr>
        <w:drawing>
          <wp:inline distT="0" distB="0" distL="0" distR="0" wp14:anchorId="0FB15643" wp14:editId="2146FB4B">
            <wp:extent cx="5514975" cy="3409950"/>
            <wp:effectExtent l="0" t="0" r="9525" b="0"/>
            <wp:docPr id="15" name="Picture 15" descr="C:\Users\Anya\Downloads\125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ya\Downloads\12516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4975" cy="3409950"/>
                    </a:xfrm>
                    <a:prstGeom prst="rect">
                      <a:avLst/>
                    </a:prstGeom>
                    <a:noFill/>
                    <a:ln>
                      <a:noFill/>
                    </a:ln>
                  </pic:spPr>
                </pic:pic>
              </a:graphicData>
            </a:graphic>
          </wp:inline>
        </w:drawing>
      </w:r>
    </w:p>
    <w:p w:rsidR="009C111B" w:rsidRDefault="008C5188" w:rsidP="009C111B">
      <w:pPr>
        <w:autoSpaceDE w:val="0"/>
        <w:autoSpaceDN w:val="0"/>
        <w:adjustRightInd w:val="0"/>
        <w:spacing w:line="480" w:lineRule="auto"/>
        <w:rPr>
          <w:rFonts w:ascii="Thorndale for VST" w:hAnsi="Thorndale for VST" w:cs="Thorndale for VST"/>
          <w:noProof/>
        </w:rPr>
      </w:pPr>
      <w:sdt>
        <w:sdtPr>
          <w:rPr>
            <w:rFonts w:ascii="Thorndale for VST" w:hAnsi="Thorndale for VST" w:cs="Thorndale for VST"/>
            <w:noProof/>
          </w:rPr>
          <w:id w:val="-832914414"/>
          <w:citation/>
        </w:sdtPr>
        <w:sdtEndPr/>
        <w:sdtContent>
          <w:r w:rsidR="008E16F2">
            <w:rPr>
              <w:rFonts w:ascii="Thorndale for VST" w:hAnsi="Thorndale for VST" w:cs="Thorndale for VST"/>
              <w:noProof/>
            </w:rPr>
            <w:fldChar w:fldCharType="begin"/>
          </w:r>
          <w:r w:rsidR="008E16F2">
            <w:rPr>
              <w:rFonts w:ascii="Thorndale for VST" w:hAnsi="Thorndale for VST" w:cs="Thorndale for VST"/>
              <w:noProof/>
            </w:rPr>
            <w:instrText xml:space="preserve"> CITATION Cha121 \l 1033 </w:instrText>
          </w:r>
          <w:r w:rsidR="008E16F2">
            <w:rPr>
              <w:rFonts w:ascii="Thorndale for VST" w:hAnsi="Thorndale for VST" w:cs="Thorndale for VST"/>
              <w:noProof/>
            </w:rPr>
            <w:fldChar w:fldCharType="separate"/>
          </w:r>
          <w:r w:rsidR="008E16F2" w:rsidRPr="008E16F2">
            <w:rPr>
              <w:rFonts w:ascii="Thorndale for VST" w:hAnsi="Thorndale for VST" w:cs="Thorndale for VST"/>
              <w:noProof/>
            </w:rPr>
            <w:t>(Charts for Intel, 2012)</w:t>
          </w:r>
          <w:r w:rsidR="008E16F2">
            <w:rPr>
              <w:rFonts w:ascii="Thorndale for VST" w:hAnsi="Thorndale for VST" w:cs="Thorndale for VST"/>
              <w:noProof/>
            </w:rPr>
            <w:fldChar w:fldCharType="end"/>
          </w:r>
        </w:sdtContent>
      </w:sdt>
    </w:p>
    <w:p w:rsidR="008E16F2" w:rsidRDefault="009712EF" w:rsidP="009C111B">
      <w:pPr>
        <w:autoSpaceDE w:val="0"/>
        <w:autoSpaceDN w:val="0"/>
        <w:adjustRightInd w:val="0"/>
        <w:spacing w:line="480" w:lineRule="auto"/>
        <w:rPr>
          <w:rFonts w:ascii="Thorndale for VST" w:hAnsi="Thorndale for VST" w:cs="Thorndale for VST"/>
          <w:noProof/>
        </w:rPr>
      </w:pPr>
      <w:r>
        <w:rPr>
          <w:rFonts w:ascii="Thorndale for VST" w:hAnsi="Thorndale for VST" w:cs="Thorndale for VST"/>
          <w:noProof/>
        </w:rPr>
        <w:t xml:space="preserve">The graph above is showing a 3 year movement of Intel’s (INTC) stock and volume created at investorguide.com. </w:t>
      </w:r>
      <w:r w:rsidR="00D80294">
        <w:rPr>
          <w:rFonts w:ascii="Thorndale for VST" w:hAnsi="Thorndale for VST" w:cs="Thorndale for VST"/>
          <w:noProof/>
        </w:rPr>
        <w:t xml:space="preserve">The overall movement of the stock price for Intel has </w:t>
      </w:r>
      <w:r w:rsidR="0045221A">
        <w:rPr>
          <w:rFonts w:ascii="Thorndale for VST" w:hAnsi="Thorndale for VST" w:cs="Thorndale for VST"/>
          <w:noProof/>
        </w:rPr>
        <w:t xml:space="preserve">moving in a upper positive direction </w:t>
      </w:r>
      <w:r w:rsidR="00D80294">
        <w:rPr>
          <w:rFonts w:ascii="Thorndale for VST" w:hAnsi="Thorndale for VST" w:cs="Thorndale for VST"/>
          <w:noProof/>
        </w:rPr>
        <w:t>from 2010 to 2012, with certain periods of decreasing but the overall look of the graph ind</w:t>
      </w:r>
      <w:r w:rsidR="0045221A">
        <w:rPr>
          <w:rFonts w:ascii="Thorndale for VST" w:hAnsi="Thorndale for VST" w:cs="Thorndale for VST"/>
          <w:noProof/>
        </w:rPr>
        <w:t>icate that the company is doing good</w:t>
      </w:r>
      <w:r w:rsidR="00F041DB">
        <w:rPr>
          <w:rFonts w:ascii="Thorndale for VST" w:hAnsi="Thorndale for VST" w:cs="Thorndale for VST"/>
          <w:noProof/>
        </w:rPr>
        <w:t xml:space="preserve">. As of July 2012, the stock price has been decreasing and  the </w:t>
      </w:r>
      <w:r w:rsidR="00915E31">
        <w:rPr>
          <w:rFonts w:ascii="Thorndale for VST" w:hAnsi="Thorndale for VST" w:cs="Thorndale for VST"/>
          <w:noProof/>
        </w:rPr>
        <w:t xml:space="preserve">average </w:t>
      </w:r>
      <w:r w:rsidR="00F041DB">
        <w:rPr>
          <w:rFonts w:ascii="Thorndale for VST" w:hAnsi="Thorndale for VST" w:cs="Thorndale for VST"/>
          <w:noProof/>
        </w:rPr>
        <w:t xml:space="preserve">volume currently is at more than $40 million shares. </w:t>
      </w:r>
    </w:p>
    <w:p w:rsidR="00BB3553" w:rsidRDefault="00BB3553" w:rsidP="0045221A">
      <w:pPr>
        <w:autoSpaceDE w:val="0"/>
        <w:autoSpaceDN w:val="0"/>
        <w:adjustRightInd w:val="0"/>
        <w:spacing w:before="240" w:line="240" w:lineRule="auto"/>
        <w:jc w:val="center"/>
        <w:rPr>
          <w:rFonts w:ascii="Thorndale for VST" w:hAnsi="Thorndale for VST" w:cs="Thorndale for VST"/>
          <w:noProof/>
        </w:rPr>
      </w:pPr>
    </w:p>
    <w:p w:rsidR="00D64708" w:rsidRDefault="006A0D45" w:rsidP="00857C3F">
      <w:pPr>
        <w:autoSpaceDE w:val="0"/>
        <w:autoSpaceDN w:val="0"/>
        <w:adjustRightInd w:val="0"/>
        <w:spacing w:before="240" w:line="240" w:lineRule="auto"/>
        <w:jc w:val="center"/>
        <w:rPr>
          <w:rStyle w:val="Heading1Char"/>
        </w:rPr>
      </w:pPr>
      <w:bookmarkStart w:id="7" w:name="_Toc337993507"/>
      <w:bookmarkStart w:id="8" w:name="_GoBack"/>
      <w:bookmarkEnd w:id="8"/>
      <w:r w:rsidRPr="00AD0680">
        <w:rPr>
          <w:rStyle w:val="Heading1Char"/>
        </w:rPr>
        <w:lastRenderedPageBreak/>
        <w:t>Recommendation</w:t>
      </w:r>
      <w:bookmarkEnd w:id="7"/>
      <w:r w:rsidR="00D64708">
        <w:rPr>
          <w:rStyle w:val="Heading1Char"/>
        </w:rPr>
        <w:t xml:space="preserve"> </w:t>
      </w:r>
    </w:p>
    <w:p w:rsidR="006A0D45" w:rsidRDefault="006A0D45" w:rsidP="00857C3F">
      <w:pPr>
        <w:autoSpaceDE w:val="0"/>
        <w:autoSpaceDN w:val="0"/>
        <w:adjustRightInd w:val="0"/>
        <w:spacing w:before="240" w:line="240" w:lineRule="auto"/>
        <w:jc w:val="center"/>
        <w:rPr>
          <w:rFonts w:ascii="Thorndale for VST" w:hAnsi="Thorndale for VST" w:cs="Thorndale for VST"/>
          <w:b/>
          <w:noProof/>
          <w:sz w:val="28"/>
        </w:rPr>
      </w:pPr>
      <w:bookmarkStart w:id="9" w:name="_Toc337993508"/>
      <w:r w:rsidRPr="00AD0680">
        <w:rPr>
          <w:rStyle w:val="Heading1Char"/>
        </w:rPr>
        <w:t>Conclusion</w:t>
      </w:r>
      <w:bookmarkEnd w:id="9"/>
    </w:p>
    <w:p w:rsidR="00857C3F" w:rsidRDefault="00857C3F" w:rsidP="00991B7C">
      <w:pPr>
        <w:autoSpaceDE w:val="0"/>
        <w:autoSpaceDN w:val="0"/>
        <w:adjustRightInd w:val="0"/>
        <w:spacing w:before="240" w:line="480" w:lineRule="auto"/>
        <w:ind w:firstLine="720"/>
        <w:rPr>
          <w:rFonts w:ascii="Thorndale for VST" w:hAnsi="Thorndale for VST" w:cs="Thorndale for VST"/>
          <w:noProof/>
        </w:rPr>
      </w:pPr>
      <w:r w:rsidRPr="00FC4ACD">
        <w:rPr>
          <w:b/>
          <w:noProof/>
          <w:sz w:val="36"/>
        </w:rPr>
        <mc:AlternateContent>
          <mc:Choice Requires="wps">
            <w:drawing>
              <wp:anchor distT="0" distB="0" distL="114300" distR="114300" simplePos="0" relativeHeight="251671552" behindDoc="0" locked="0" layoutInCell="1" allowOverlap="1" wp14:anchorId="4BD4E989" wp14:editId="42101752">
                <wp:simplePos x="0" y="0"/>
                <wp:positionH relativeFrom="margin">
                  <wp:posOffset>-247650</wp:posOffset>
                </wp:positionH>
                <wp:positionV relativeFrom="paragraph">
                  <wp:posOffset>18415</wp:posOffset>
                </wp:positionV>
                <wp:extent cx="6400800" cy="0"/>
                <wp:effectExtent l="57150" t="38100" r="57150" b="95250"/>
                <wp:wrapNone/>
                <wp:docPr id="7" name="Straight Connector 7"/>
                <wp:cNvGraphicFramePr/>
                <a:graphic xmlns:a="http://schemas.openxmlformats.org/drawingml/2006/main">
                  <a:graphicData uri="http://schemas.microsoft.com/office/word/2010/wordprocessingShape">
                    <wps:wsp>
                      <wps:cNvCnPr/>
                      <wps:spPr>
                        <a:xfrm flipV="1">
                          <a:off x="0" y="0"/>
                          <a:ext cx="640080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45pt" to="48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" strokecolor="#4f81bd" strokeweight="3pt">
                <v:shadow on="t" color="black" opacity="22937f" origin=",.5" offset="0,.63889mm"/>
                <w10:wrap anchorx="margin"/>
              </v:line>
            </w:pict>
          </mc:Fallback>
        </mc:AlternateContent>
      </w:r>
      <w:r w:rsidR="007078BF">
        <w:rPr>
          <w:rFonts w:ascii="Thorndale for VST" w:hAnsi="Thorndale for VST" w:cs="Thorndale for VST"/>
          <w:noProof/>
        </w:rPr>
        <w:t>Unemployment rate has decreased, t</w:t>
      </w:r>
      <w:r w:rsidR="004459AA">
        <w:rPr>
          <w:rFonts w:ascii="Thorndale for VST" w:hAnsi="Thorndale for VST" w:cs="Thorndale for VST"/>
          <w:noProof/>
        </w:rPr>
        <w:t>he stock market and</w:t>
      </w:r>
      <w:r w:rsidR="007078BF">
        <w:rPr>
          <w:rFonts w:ascii="Thorndale for VST" w:hAnsi="Thorndale for VST" w:cs="Thorndale for VST"/>
          <w:noProof/>
        </w:rPr>
        <w:t xml:space="preserve"> the</w:t>
      </w:r>
      <w:r w:rsidR="004459AA">
        <w:rPr>
          <w:rFonts w:ascii="Thorndale for VST" w:hAnsi="Thorndale for VST" w:cs="Thorndale for VST"/>
          <w:noProof/>
        </w:rPr>
        <w:t xml:space="preserve"> economy is doing bet</w:t>
      </w:r>
      <w:r w:rsidR="007078BF">
        <w:rPr>
          <w:rFonts w:ascii="Thorndale for VST" w:hAnsi="Thorndale for VST" w:cs="Thorndale for VST"/>
          <w:noProof/>
        </w:rPr>
        <w:t>ter. Intel Corporation would be a good investment for many</w:t>
      </w:r>
      <w:r w:rsidR="00E10954">
        <w:rPr>
          <w:rFonts w:ascii="Thorndale for VST" w:hAnsi="Thorndale for VST" w:cs="Thorndale for VST"/>
          <w:noProof/>
        </w:rPr>
        <w:t xml:space="preserve"> reasons. First, the semiconductor industry has increased sales of 54 percent and 18 percent of those sales came from America. </w:t>
      </w:r>
      <w:r w:rsidR="00557D77">
        <w:rPr>
          <w:rFonts w:ascii="Thorndale for VST" w:hAnsi="Thorndale for VST" w:cs="Thorndale for VST"/>
          <w:noProof/>
        </w:rPr>
        <w:t>As the computing business is dominated by the success of Microsoft and Apple, new hardware will demand more semi</w:t>
      </w:r>
      <w:r w:rsidR="00A34989">
        <w:rPr>
          <w:rFonts w:ascii="Thorndale for VST" w:hAnsi="Thorndale for VST" w:cs="Thorndale for VST"/>
          <w:noProof/>
        </w:rPr>
        <w:t xml:space="preserve">conductors. </w:t>
      </w:r>
      <w:r w:rsidR="00DB64B9">
        <w:rPr>
          <w:rFonts w:ascii="Thorndale for VST" w:hAnsi="Thorndale for VST" w:cs="Thorndale for VST"/>
          <w:noProof/>
        </w:rPr>
        <w:t xml:space="preserve">The industry </w:t>
      </w:r>
      <w:r w:rsidR="00694749">
        <w:rPr>
          <w:rFonts w:ascii="Thorndale for VST" w:hAnsi="Thorndale for VST" w:cs="Thorndale for VST"/>
          <w:noProof/>
        </w:rPr>
        <w:t>will also see increased sales due to consumer demands for LCD, Blu</w:t>
      </w:r>
      <w:r w:rsidR="00DB64B9">
        <w:rPr>
          <w:rFonts w:ascii="Thorndale for VST" w:hAnsi="Thorndale for VST" w:cs="Thorndale for VST"/>
          <w:noProof/>
        </w:rPr>
        <w:t>-</w:t>
      </w:r>
      <w:r w:rsidR="00694749">
        <w:rPr>
          <w:rFonts w:ascii="Thorndale for VST" w:hAnsi="Thorndale for VST" w:cs="Thorndale for VST"/>
          <w:noProof/>
        </w:rPr>
        <w:t xml:space="preserve">ray and Blue tooth technology. </w:t>
      </w:r>
      <w:r w:rsidR="00A34989">
        <w:rPr>
          <w:rFonts w:ascii="Thorndale for VST" w:hAnsi="Thorndale for VST" w:cs="Thorndale for VST"/>
          <w:noProof/>
        </w:rPr>
        <w:t>Computerizations in emerging markets will also contribute to the increasing sales and demand of semiconductors. Not only is Intel at the</w:t>
      </w:r>
      <w:r w:rsidR="003E1A57">
        <w:rPr>
          <w:rFonts w:ascii="Thorndale for VST" w:hAnsi="Thorndale for VST" w:cs="Thorndale for VST"/>
          <w:noProof/>
        </w:rPr>
        <w:t xml:space="preserve"> </w:t>
      </w:r>
      <w:r w:rsidR="00A34989">
        <w:rPr>
          <w:rFonts w:ascii="Thorndale for VST" w:hAnsi="Thorndale for VST" w:cs="Thorndale for VST"/>
          <w:noProof/>
        </w:rPr>
        <w:t>top of the semiconductor industry but the company</w:t>
      </w:r>
      <w:r w:rsidR="00DB64B9">
        <w:rPr>
          <w:rFonts w:ascii="Thorndale for VST" w:hAnsi="Thorndale for VST" w:cs="Thorndale for VST"/>
          <w:noProof/>
        </w:rPr>
        <w:t xml:space="preserve"> has</w:t>
      </w:r>
      <w:r w:rsidR="00A34989">
        <w:rPr>
          <w:rFonts w:ascii="Thorndale for VST" w:hAnsi="Thorndale for VST" w:cs="Thorndale for VST"/>
          <w:noProof/>
        </w:rPr>
        <w:t xml:space="preserve"> also </w:t>
      </w:r>
      <w:r w:rsidR="00694749">
        <w:rPr>
          <w:rFonts w:ascii="Thorndale for VST" w:hAnsi="Thorndale for VST" w:cs="Thorndale for VST"/>
          <w:noProof/>
        </w:rPr>
        <w:t>been a fair performer in the past two years</w:t>
      </w:r>
      <w:r w:rsidR="00DB64B9">
        <w:rPr>
          <w:rFonts w:ascii="Thorndale for VST" w:hAnsi="Thorndale for VST" w:cs="Thorndale for VST"/>
          <w:noProof/>
        </w:rPr>
        <w:t xml:space="preserve">. Profit margins are down for the year 2011 from 2010 by a few percentages but return on equity experienced an increase in 2011. </w:t>
      </w:r>
      <w:r w:rsidR="00F35DBA">
        <w:rPr>
          <w:rFonts w:ascii="Thorndale for VST" w:hAnsi="Thorndale for VST" w:cs="Thorndale for VST"/>
          <w:noProof/>
        </w:rPr>
        <w:t>The company did not perform well in receivables turnover ratio, for the ratio decreased. However, the company did see improvement in its inventory turnover ratio, a 2 percent increase. Intel’s quick ratio indicated that the company will not be able to meet its short-term obligations when it is due. Intel also ranked 17</w:t>
      </w:r>
      <w:r w:rsidR="00F35DBA" w:rsidRPr="00F35DBA">
        <w:rPr>
          <w:rFonts w:ascii="Thorndale for VST" w:hAnsi="Thorndale for VST" w:cs="Thorndale for VST"/>
          <w:noProof/>
          <w:vertAlign w:val="superscript"/>
        </w:rPr>
        <w:t>th</w:t>
      </w:r>
      <w:r w:rsidR="00F35DBA">
        <w:rPr>
          <w:rFonts w:ascii="Thorndale for VST" w:hAnsi="Thorndale for VST" w:cs="Thorndale for VST"/>
          <w:noProof/>
        </w:rPr>
        <w:t xml:space="preserve"> on its current ratio according to the industry at 2.447 which is better than ranking last but it is not as great as being first. </w:t>
      </w:r>
      <w:r w:rsidR="00D104BB">
        <w:rPr>
          <w:rFonts w:ascii="Thorndale for VST" w:hAnsi="Thorndale for VST" w:cs="Thorndale for VST"/>
          <w:noProof/>
        </w:rPr>
        <w:t xml:space="preserve">As Graph 1 indicate, </w:t>
      </w:r>
      <w:r w:rsidR="00D83046">
        <w:rPr>
          <w:rFonts w:ascii="Thorndale for VST" w:hAnsi="Thorndale for VST" w:cs="Thorndale for VST"/>
          <w:noProof/>
        </w:rPr>
        <w:t>the decrease in Intel’s stock is not likely to continue. T</w:t>
      </w:r>
      <w:r w:rsidR="00D104BB">
        <w:rPr>
          <w:rFonts w:ascii="Thorndale for VST" w:hAnsi="Thorndale for VST" w:cs="Thorndale for VST"/>
          <w:noProof/>
        </w:rPr>
        <w:t>he stock price for Intel is falling but this decrease in the stock price might be due to other reasons beside</w:t>
      </w:r>
      <w:r w:rsidR="00D83046">
        <w:rPr>
          <w:rFonts w:ascii="Thorndale for VST" w:hAnsi="Thorndale for VST" w:cs="Thorndale for VST"/>
          <w:noProof/>
        </w:rPr>
        <w:t>s</w:t>
      </w:r>
      <w:r w:rsidR="00D104BB">
        <w:rPr>
          <w:rFonts w:ascii="Thorndale for VST" w:hAnsi="Thorndale for VST" w:cs="Thorndale for VST"/>
          <w:noProof/>
        </w:rPr>
        <w:t xml:space="preserve"> the performance of the company. </w:t>
      </w:r>
      <w:r w:rsidR="00BB3553">
        <w:rPr>
          <w:rFonts w:ascii="Thorndale for VST" w:hAnsi="Thorndale for VST" w:cs="Thorndale for VST"/>
          <w:noProof/>
        </w:rPr>
        <w:t>I’m going to be an optimist and recommend Intel. I believe the company will bounce back and it would be a good investment.</w:t>
      </w:r>
    </w:p>
    <w:p w:rsidR="00026845" w:rsidRPr="00AD0680" w:rsidRDefault="00991B7C" w:rsidP="00AD0680">
      <w:pPr>
        <w:pStyle w:val="Heading1"/>
        <w:jc w:val="center"/>
      </w:pPr>
      <w:bookmarkStart w:id="10" w:name="_Toc337993509"/>
      <w:r w:rsidRPr="00AD0680">
        <w:lastRenderedPageBreak/>
        <mc:AlternateContent>
          <mc:Choice Requires="wps">
            <w:drawing>
              <wp:anchor distT="0" distB="0" distL="114300" distR="114300" simplePos="0" relativeHeight="251669504" behindDoc="0" locked="0" layoutInCell="1" allowOverlap="1" wp14:anchorId="6FCA8CF8" wp14:editId="488EF9B5">
                <wp:simplePos x="0" y="0"/>
                <wp:positionH relativeFrom="margin">
                  <wp:align>center</wp:align>
                </wp:positionH>
                <wp:positionV relativeFrom="paragraph">
                  <wp:posOffset>247650</wp:posOffset>
                </wp:positionV>
                <wp:extent cx="6610350" cy="0"/>
                <wp:effectExtent l="57150" t="38100" r="57150" b="95250"/>
                <wp:wrapNone/>
                <wp:docPr id="8" name="Straight Connector 8"/>
                <wp:cNvGraphicFramePr/>
                <a:graphic xmlns:a="http://schemas.openxmlformats.org/drawingml/2006/main">
                  <a:graphicData uri="http://schemas.microsoft.com/office/word/2010/wordprocessingShape">
                    <wps:wsp>
                      <wps:cNvCnPr/>
                      <wps:spPr>
                        <a:xfrm flipV="1">
                          <a:off x="0" y="0"/>
                          <a:ext cx="6610350" cy="1"/>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id="Straight Connector 8" o:spid="_x0000_s1026" style="position:absolute;flip:y;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9.5pt" to="5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" strokecolor="#4f81bd" strokeweight="3pt">
                <v:shadow on="t" color="black" opacity="22937f" origin=",.5" offset="0,.63889mm"/>
                <w10:wrap anchorx="margin"/>
              </v:line>
            </w:pict>
          </mc:Fallback>
        </mc:AlternateContent>
      </w:r>
      <w:r w:rsidR="007951E9" w:rsidRPr="00AD0680">
        <w:t>REFERENCE</w:t>
      </w:r>
      <w:bookmarkEnd w:id="10"/>
    </w:p>
    <w:p w:rsidR="00026845" w:rsidRPr="00026845" w:rsidRDefault="00026845" w:rsidP="00026845">
      <w:pPr>
        <w:rPr>
          <w:sz w:val="32"/>
        </w:rPr>
      </w:pPr>
    </w:p>
    <w:p w:rsidR="00E33E6E" w:rsidRDefault="00026845" w:rsidP="006A0D45">
      <w:pPr>
        <w:pStyle w:val="Bibliography"/>
        <w:spacing w:line="480" w:lineRule="auto"/>
        <w:ind w:left="720" w:hanging="720"/>
        <w:rPr>
          <w:noProof/>
        </w:rPr>
      </w:pPr>
      <w:r>
        <w:rPr>
          <w:sz w:val="32"/>
        </w:rPr>
        <w:fldChar w:fldCharType="begin"/>
      </w:r>
      <w:r>
        <w:rPr>
          <w:sz w:val="32"/>
        </w:rPr>
        <w:instrText xml:space="preserve"> BIBLIOGRAPHY  \l 1033 </w:instrText>
      </w:r>
      <w:r>
        <w:rPr>
          <w:sz w:val="32"/>
        </w:rPr>
        <w:fldChar w:fldCharType="separate"/>
      </w:r>
      <w:r w:rsidR="00E33E6E">
        <w:rPr>
          <w:i/>
          <w:iCs/>
          <w:noProof/>
        </w:rPr>
        <w:t>advfn.com</w:t>
      </w:r>
      <w:r w:rsidR="00E33E6E">
        <w:rPr>
          <w:noProof/>
        </w:rPr>
        <w:t>. (2012, 10 11). Retrieved from www.advfn.com: http://www.advfn.com/p.php?pid=financials&amp;symbol=N^INTC</w:t>
      </w:r>
    </w:p>
    <w:p w:rsidR="00E33E6E" w:rsidRDefault="00E33E6E" w:rsidP="006A0D45">
      <w:pPr>
        <w:pStyle w:val="Bibliography"/>
        <w:spacing w:line="480" w:lineRule="auto"/>
        <w:ind w:left="720" w:hanging="720"/>
        <w:rPr>
          <w:noProof/>
        </w:rPr>
      </w:pPr>
      <w:r>
        <w:rPr>
          <w:i/>
          <w:iCs/>
          <w:noProof/>
        </w:rPr>
        <w:t>Charts for Intel</w:t>
      </w:r>
      <w:r>
        <w:rPr>
          <w:noProof/>
        </w:rPr>
        <w:t>. (2012, 10 14). Retrieved from www.investorguide.com: http://www.investorguide.com/stock-charts.php?ticker=INTC</w:t>
      </w:r>
    </w:p>
    <w:p w:rsidR="00E33E6E" w:rsidRDefault="00E33E6E" w:rsidP="006A0D45">
      <w:pPr>
        <w:pStyle w:val="Bibliography"/>
        <w:spacing w:line="480" w:lineRule="auto"/>
        <w:ind w:left="720" w:hanging="720"/>
        <w:rPr>
          <w:noProof/>
        </w:rPr>
      </w:pPr>
      <w:r>
        <w:rPr>
          <w:i/>
          <w:iCs/>
          <w:noProof/>
        </w:rPr>
        <w:t>Current Issues in U.S. Monetary Policy</w:t>
      </w:r>
      <w:r>
        <w:rPr>
          <w:noProof/>
        </w:rPr>
        <w:t>. (2012, 10 8). Retrieved from Federal Reserve of Cleveland: http://clevelandfed.org/For_the_Public/News_and_Media/Speeches/2011/Pianalto_20110407.cfm</w:t>
      </w:r>
    </w:p>
    <w:p w:rsidR="00E33E6E" w:rsidRDefault="00E33E6E" w:rsidP="006A0D45">
      <w:pPr>
        <w:pStyle w:val="Bibliography"/>
        <w:spacing w:line="480" w:lineRule="auto"/>
        <w:ind w:left="720" w:hanging="720"/>
        <w:rPr>
          <w:noProof/>
        </w:rPr>
      </w:pPr>
      <w:r>
        <w:rPr>
          <w:i/>
          <w:iCs/>
          <w:noProof/>
        </w:rPr>
        <w:t>Current Rankings for Semiconductor</w:t>
      </w:r>
      <w:r>
        <w:rPr>
          <w:noProof/>
        </w:rPr>
        <w:t>. (2012, 10 14). Retrieved from ycharts.com: http://ycharts.com/rankings/industries/Semiconductor%20-%20Broad%20Line/current_ratio</w:t>
      </w:r>
    </w:p>
    <w:p w:rsidR="00E33E6E" w:rsidRDefault="00E33E6E" w:rsidP="006A0D45">
      <w:pPr>
        <w:pStyle w:val="Bibliography"/>
        <w:spacing w:line="480" w:lineRule="auto"/>
        <w:ind w:left="720" w:hanging="720"/>
        <w:rPr>
          <w:noProof/>
        </w:rPr>
      </w:pPr>
      <w:r>
        <w:rPr>
          <w:i/>
          <w:iCs/>
          <w:noProof/>
        </w:rPr>
        <w:t>Economy 101</w:t>
      </w:r>
      <w:r>
        <w:rPr>
          <w:noProof/>
        </w:rPr>
        <w:t>. (2012, 10 8). Retrieved from Practical Money Skills: http://www.practicalmoneyskills.com/foreducators/econ101/20090710_fiscal_policy.php</w:t>
      </w:r>
    </w:p>
    <w:p w:rsidR="00E33E6E" w:rsidRDefault="00E33E6E" w:rsidP="006A0D45">
      <w:pPr>
        <w:pStyle w:val="Bibliography"/>
        <w:spacing w:line="480" w:lineRule="auto"/>
        <w:ind w:left="720" w:hanging="720"/>
        <w:rPr>
          <w:noProof/>
        </w:rPr>
      </w:pPr>
      <w:r>
        <w:rPr>
          <w:i/>
          <w:iCs/>
          <w:noProof/>
        </w:rPr>
        <w:t>Employment Situation Summary</w:t>
      </w:r>
      <w:r>
        <w:rPr>
          <w:noProof/>
        </w:rPr>
        <w:t>. (2012, 10 8). Retrieved from Bureau of Labor Statistics: http://www.bls.gov/news.release/empsit.nr0.htm</w:t>
      </w:r>
    </w:p>
    <w:p w:rsidR="00E33E6E" w:rsidRDefault="00E33E6E" w:rsidP="006A0D45">
      <w:pPr>
        <w:pStyle w:val="Bibliography"/>
        <w:spacing w:line="480" w:lineRule="auto"/>
        <w:ind w:left="720" w:hanging="720"/>
        <w:rPr>
          <w:noProof/>
        </w:rPr>
      </w:pPr>
      <w:r>
        <w:rPr>
          <w:i/>
          <w:iCs/>
          <w:noProof/>
        </w:rPr>
        <w:t>Google Public Data</w:t>
      </w:r>
      <w:r>
        <w:rPr>
          <w:noProof/>
        </w:rPr>
        <w:t>. (2012, 10 8). Retrieved from www.google.com: http://www.google.com/publicdata/explore?ds=d5bncppjof8f9_&amp;met_y=ny_gdp_mktp_cd&amp;idim=country:USA&amp;dl=en&amp;hl=en&amp;q=gross+domestic+product</w:t>
      </w:r>
    </w:p>
    <w:p w:rsidR="00E33E6E" w:rsidRDefault="00E33E6E" w:rsidP="006A0D45">
      <w:pPr>
        <w:pStyle w:val="Bibliography"/>
        <w:spacing w:line="480" w:lineRule="auto"/>
        <w:ind w:left="720" w:hanging="720"/>
        <w:rPr>
          <w:noProof/>
        </w:rPr>
      </w:pPr>
      <w:r>
        <w:rPr>
          <w:i/>
          <w:iCs/>
          <w:noProof/>
        </w:rPr>
        <w:t>Intel 2010 Annual Report</w:t>
      </w:r>
      <w:r>
        <w:rPr>
          <w:noProof/>
        </w:rPr>
        <w:t>. (2012, 10 12). Retrieved from www.intc.com: http://www.intc.com/intelAR2010/mda/operations/provision_taxes/index.html</w:t>
      </w:r>
    </w:p>
    <w:p w:rsidR="00E33E6E" w:rsidRDefault="00E33E6E" w:rsidP="006A0D45">
      <w:pPr>
        <w:pStyle w:val="Bibliography"/>
        <w:spacing w:line="480" w:lineRule="auto"/>
        <w:ind w:left="720" w:hanging="720"/>
        <w:rPr>
          <w:noProof/>
        </w:rPr>
      </w:pPr>
      <w:r>
        <w:rPr>
          <w:i/>
          <w:iCs/>
          <w:noProof/>
        </w:rPr>
        <w:t>Intel Corp. Dividend Discount Model</w:t>
      </w:r>
      <w:r>
        <w:rPr>
          <w:noProof/>
        </w:rPr>
        <w:t>. (2012, 10 11). Retrieved from Stock Analysis on Net: http://www.stock-analysis-on.net/NYSE/Company/Intel-Corp/DCF/DDM#r</w:t>
      </w:r>
    </w:p>
    <w:p w:rsidR="00E33E6E" w:rsidRDefault="00E33E6E" w:rsidP="006A0D45">
      <w:pPr>
        <w:pStyle w:val="Bibliography"/>
        <w:spacing w:line="480" w:lineRule="auto"/>
        <w:ind w:left="720" w:hanging="720"/>
        <w:rPr>
          <w:noProof/>
        </w:rPr>
      </w:pPr>
      <w:r>
        <w:rPr>
          <w:i/>
          <w:iCs/>
          <w:noProof/>
        </w:rPr>
        <w:lastRenderedPageBreak/>
        <w:t>Intel Corp. Investor Kit</w:t>
      </w:r>
      <w:r>
        <w:rPr>
          <w:noProof/>
        </w:rPr>
        <w:t>. (2012, 10 11). Retrieved from www.companyspotlight.com: http://www.companyspotlight.com/viewer/28189</w:t>
      </w:r>
    </w:p>
    <w:p w:rsidR="00E33E6E" w:rsidRDefault="00E33E6E" w:rsidP="006A0D45">
      <w:pPr>
        <w:pStyle w:val="Bibliography"/>
        <w:spacing w:line="480" w:lineRule="auto"/>
        <w:ind w:left="720" w:hanging="720"/>
        <w:rPr>
          <w:noProof/>
        </w:rPr>
      </w:pPr>
      <w:r>
        <w:rPr>
          <w:i/>
          <w:iCs/>
          <w:noProof/>
        </w:rPr>
        <w:t>Intel Corporation Current PE ratio</w:t>
      </w:r>
      <w:r>
        <w:rPr>
          <w:noProof/>
        </w:rPr>
        <w:t>. (2012, 10 11). Retrieved from ycharts.com: http://ycharts.com/companies/INTC/pe_ratio</w:t>
      </w:r>
    </w:p>
    <w:p w:rsidR="00E33E6E" w:rsidRDefault="00E33E6E" w:rsidP="006A0D45">
      <w:pPr>
        <w:pStyle w:val="Bibliography"/>
        <w:spacing w:line="480" w:lineRule="auto"/>
        <w:ind w:left="720" w:hanging="720"/>
        <w:rPr>
          <w:noProof/>
        </w:rPr>
      </w:pPr>
      <w:r>
        <w:rPr>
          <w:i/>
          <w:iCs/>
          <w:noProof/>
        </w:rPr>
        <w:t>Intel Corporation Current Ratio</w:t>
      </w:r>
      <w:r>
        <w:rPr>
          <w:noProof/>
        </w:rPr>
        <w:t>. (2012, 10 11). Retrieved from ycharts.com: http://ycharts.com/companies/INTC/current_ratio</w:t>
      </w:r>
    </w:p>
    <w:p w:rsidR="00E33E6E" w:rsidRDefault="00E33E6E" w:rsidP="006A0D45">
      <w:pPr>
        <w:pStyle w:val="Bibliography"/>
        <w:spacing w:line="480" w:lineRule="auto"/>
        <w:ind w:left="720" w:hanging="720"/>
        <w:rPr>
          <w:noProof/>
        </w:rPr>
      </w:pPr>
      <w:r>
        <w:rPr>
          <w:i/>
          <w:iCs/>
          <w:noProof/>
        </w:rPr>
        <w:t>Intel Corporation Historical Dividend Yield Data</w:t>
      </w:r>
      <w:r>
        <w:rPr>
          <w:noProof/>
        </w:rPr>
        <w:t>. (2012, 10 12). Retrieved from ycharts.com: http://ycharts.com/companies/INTC/dividend_yield</w:t>
      </w:r>
    </w:p>
    <w:p w:rsidR="00E33E6E" w:rsidRDefault="00E33E6E" w:rsidP="006A0D45">
      <w:pPr>
        <w:pStyle w:val="Bibliography"/>
        <w:spacing w:line="480" w:lineRule="auto"/>
        <w:ind w:left="720" w:hanging="720"/>
        <w:rPr>
          <w:noProof/>
        </w:rPr>
      </w:pPr>
      <w:r>
        <w:rPr>
          <w:i/>
          <w:iCs/>
          <w:noProof/>
        </w:rPr>
        <w:t>Intel Corporation Price/Book Value</w:t>
      </w:r>
      <w:r>
        <w:rPr>
          <w:noProof/>
        </w:rPr>
        <w:t>. (2012, 10 12). Retrieved from ycharts.com: http://ycharts.com/companies/INTC/price_to_book_value</w:t>
      </w:r>
    </w:p>
    <w:p w:rsidR="00E33E6E" w:rsidRDefault="00E33E6E" w:rsidP="006A0D45">
      <w:pPr>
        <w:pStyle w:val="Bibliography"/>
        <w:spacing w:line="480" w:lineRule="auto"/>
        <w:ind w:left="720" w:hanging="720"/>
        <w:rPr>
          <w:noProof/>
        </w:rPr>
      </w:pPr>
      <w:r>
        <w:rPr>
          <w:i/>
          <w:iCs/>
          <w:noProof/>
        </w:rPr>
        <w:t>Intel's Historical Debt to Equity Ratio</w:t>
      </w:r>
      <w:r>
        <w:rPr>
          <w:noProof/>
        </w:rPr>
        <w:t>. (2012, 10 11). Retrieved from ycharts.com: http://ycharts.com/companies/INTC/debt_equity_ratio</w:t>
      </w:r>
    </w:p>
    <w:p w:rsidR="00E33E6E" w:rsidRDefault="00E33E6E" w:rsidP="006A0D45">
      <w:pPr>
        <w:pStyle w:val="Bibliography"/>
        <w:spacing w:line="480" w:lineRule="auto"/>
        <w:ind w:left="720" w:hanging="720"/>
        <w:rPr>
          <w:noProof/>
        </w:rPr>
      </w:pPr>
      <w:r>
        <w:rPr>
          <w:i/>
          <w:iCs/>
          <w:noProof/>
        </w:rPr>
        <w:t>Morningstar</w:t>
      </w:r>
      <w:r>
        <w:rPr>
          <w:noProof/>
        </w:rPr>
        <w:t>. (2012, 10 12). Retrieved from quicktake.morningstar.com: http://quicktake.morningstar.com/stocknet/mstockgrades.aspx?symbol=intc</w:t>
      </w:r>
    </w:p>
    <w:p w:rsidR="00E33E6E" w:rsidRDefault="00E33E6E" w:rsidP="006A0D45">
      <w:pPr>
        <w:pStyle w:val="Bibliography"/>
        <w:spacing w:line="480" w:lineRule="auto"/>
        <w:ind w:left="720" w:hanging="720"/>
        <w:rPr>
          <w:noProof/>
        </w:rPr>
      </w:pPr>
      <w:r>
        <w:rPr>
          <w:i/>
          <w:iCs/>
          <w:noProof/>
        </w:rPr>
        <w:t>Semiconductor Industry Outlook</w:t>
      </w:r>
      <w:r>
        <w:rPr>
          <w:noProof/>
        </w:rPr>
        <w:t>. (2012, 10 8). Retrieved from Zack's Investment Research: http://www.zacks.com/stock/news/51665/semiconductor-industry-outlook-apr-2011</w:t>
      </w:r>
    </w:p>
    <w:p w:rsidR="00E33E6E" w:rsidRDefault="00E33E6E" w:rsidP="006A0D45">
      <w:pPr>
        <w:pStyle w:val="Bibliography"/>
        <w:spacing w:line="480" w:lineRule="auto"/>
        <w:ind w:left="720" w:hanging="720"/>
        <w:rPr>
          <w:noProof/>
        </w:rPr>
      </w:pPr>
      <w:r>
        <w:rPr>
          <w:i/>
          <w:iCs/>
          <w:noProof/>
        </w:rPr>
        <w:t>Stock Analysis on the Net</w:t>
      </w:r>
      <w:r>
        <w:rPr>
          <w:noProof/>
        </w:rPr>
        <w:t>. (2012, 10 11). Retrieved from www.stock-analysis-on.net: http://www.stock-analysis-on.net/NYSE/Company/Intel-Corp/Ratios/Short-term-Operating-Activity#Receivables-Turnover</w:t>
      </w:r>
    </w:p>
    <w:p w:rsidR="00E33E6E" w:rsidRDefault="00E33E6E" w:rsidP="006A0D45">
      <w:pPr>
        <w:pStyle w:val="Bibliography"/>
        <w:spacing w:line="480" w:lineRule="auto"/>
        <w:ind w:left="720" w:hanging="720"/>
        <w:rPr>
          <w:noProof/>
        </w:rPr>
      </w:pPr>
      <w:r>
        <w:rPr>
          <w:i/>
          <w:iCs/>
          <w:noProof/>
        </w:rPr>
        <w:t>Yahoo!Finance</w:t>
      </w:r>
      <w:r>
        <w:rPr>
          <w:noProof/>
        </w:rPr>
        <w:t>. (2012, 10 11). Retrieved from finance.yahoo.com: http://finance.yahoo.com/q/ae?s=INTC+Analyst+Estimates</w:t>
      </w:r>
    </w:p>
    <w:p w:rsidR="00E33E6E" w:rsidRDefault="00E33E6E" w:rsidP="006A0D45">
      <w:pPr>
        <w:pStyle w:val="Bibliography"/>
        <w:spacing w:line="480" w:lineRule="auto"/>
        <w:ind w:left="720" w:hanging="720"/>
        <w:rPr>
          <w:noProof/>
        </w:rPr>
      </w:pPr>
      <w:r>
        <w:rPr>
          <w:i/>
          <w:iCs/>
          <w:noProof/>
        </w:rPr>
        <w:t>YCharts</w:t>
      </w:r>
      <w:r>
        <w:rPr>
          <w:noProof/>
        </w:rPr>
        <w:t>. (2012, 10 12). Retrieved from ycharts.com: http://ycharts.com/companies/INTC/gross_profit_margin</w:t>
      </w:r>
    </w:p>
    <w:p w:rsidR="00E33E6E" w:rsidRDefault="00E33E6E" w:rsidP="006A0D45">
      <w:pPr>
        <w:pStyle w:val="Bibliography"/>
        <w:spacing w:line="480" w:lineRule="auto"/>
        <w:ind w:left="720" w:hanging="720"/>
        <w:rPr>
          <w:noProof/>
        </w:rPr>
      </w:pPr>
      <w:r>
        <w:rPr>
          <w:noProof/>
        </w:rPr>
        <w:lastRenderedPageBreak/>
        <w:t xml:space="preserve">Mikolajczak, C. (2012, 10 8). </w:t>
      </w:r>
      <w:r>
        <w:rPr>
          <w:i/>
          <w:iCs/>
          <w:noProof/>
        </w:rPr>
        <w:t>Wall Street Falls at open after World Bank's Asia Outlook</w:t>
      </w:r>
      <w:r>
        <w:rPr>
          <w:noProof/>
        </w:rPr>
        <w:t>. Retrieved from Yahoo! News: http://news.yahoo.com/stock-index-futures-signal-early-losses-085538762--finance.html</w:t>
      </w:r>
    </w:p>
    <w:p w:rsidR="00E33E6E" w:rsidRDefault="00E33E6E" w:rsidP="006A0D45">
      <w:pPr>
        <w:pStyle w:val="Bibliography"/>
        <w:spacing w:line="480" w:lineRule="auto"/>
        <w:ind w:left="720" w:hanging="720"/>
        <w:rPr>
          <w:noProof/>
        </w:rPr>
      </w:pPr>
      <w:r>
        <w:rPr>
          <w:noProof/>
        </w:rPr>
        <w:t xml:space="preserve">Rosso, D. (2012, 10 8). </w:t>
      </w:r>
      <w:r>
        <w:rPr>
          <w:i/>
          <w:iCs/>
          <w:noProof/>
        </w:rPr>
        <w:t>Global Semiconductor Sales Remain Flat in August</w:t>
      </w:r>
      <w:r>
        <w:rPr>
          <w:noProof/>
        </w:rPr>
        <w:t>. Retrieved from Semiconductor Industry Association: http://www.sia-online.org/news/2012/10/02/global_sales_report_2012/global_semiconductor_sales_remain_flat_in_august/</w:t>
      </w:r>
    </w:p>
    <w:p w:rsidR="00026845" w:rsidRDefault="00026845" w:rsidP="006A0D45">
      <w:pPr>
        <w:spacing w:line="480" w:lineRule="auto"/>
        <w:rPr>
          <w:sz w:val="32"/>
        </w:rPr>
      </w:pPr>
      <w:r>
        <w:rPr>
          <w:sz w:val="32"/>
        </w:rPr>
        <w:fldChar w:fldCharType="end"/>
      </w:r>
    </w:p>
    <w:p w:rsidR="001234AA" w:rsidRPr="00026845" w:rsidRDefault="001234AA" w:rsidP="003112B9">
      <w:pPr>
        <w:rPr>
          <w:sz w:val="32"/>
        </w:rPr>
      </w:pPr>
    </w:p>
    <w:p w:rsidR="00026845" w:rsidRPr="00026845" w:rsidRDefault="00026845" w:rsidP="00026845">
      <w:pPr>
        <w:rPr>
          <w:sz w:val="32"/>
        </w:rPr>
      </w:pPr>
    </w:p>
    <w:p w:rsidR="001837EE" w:rsidRPr="00026845" w:rsidRDefault="00026845" w:rsidP="00026845">
      <w:pPr>
        <w:tabs>
          <w:tab w:val="left" w:pos="2655"/>
        </w:tabs>
        <w:rPr>
          <w:sz w:val="32"/>
        </w:rPr>
      </w:pPr>
      <w:r>
        <w:rPr>
          <w:sz w:val="32"/>
        </w:rPr>
        <w:tab/>
      </w:r>
    </w:p>
    <w:sectPr w:rsidR="001837EE" w:rsidRPr="00026845" w:rsidSect="008915E6">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88" w:rsidRDefault="008C5188" w:rsidP="00013213">
      <w:pPr>
        <w:spacing w:line="240" w:lineRule="auto"/>
      </w:pPr>
      <w:r>
        <w:separator/>
      </w:r>
    </w:p>
  </w:endnote>
  <w:endnote w:type="continuationSeparator" w:id="0">
    <w:p w:rsidR="008C5188" w:rsidRDefault="008C5188" w:rsidP="00013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horndale for VST">
    <w:panose1 w:val="02020603050405020304"/>
    <w:charset w:val="00"/>
    <w:family w:val="roman"/>
    <w:pitch w:val="variable"/>
    <w:sig w:usb0="00000287" w:usb1="000004E8"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86868"/>
      <w:docPartObj>
        <w:docPartGallery w:val="Page Numbers (Bottom of Page)"/>
        <w:docPartUnique/>
      </w:docPartObj>
    </w:sdtPr>
    <w:sdtEndPr>
      <w:rPr>
        <w:noProof/>
      </w:rPr>
    </w:sdtEndPr>
    <w:sdtContent>
      <w:p w:rsidR="0069257C" w:rsidRDefault="0069257C">
        <w:pPr>
          <w:pStyle w:val="Footer"/>
          <w:jc w:val="center"/>
        </w:pPr>
        <w:r>
          <w:fldChar w:fldCharType="begin"/>
        </w:r>
        <w:r>
          <w:instrText xml:space="preserve"> PAGE   \* MERGEFORMAT </w:instrText>
        </w:r>
        <w:r>
          <w:fldChar w:fldCharType="separate"/>
        </w:r>
        <w:r w:rsidR="00DB5052">
          <w:rPr>
            <w:noProof/>
          </w:rPr>
          <w:t>13</w:t>
        </w:r>
        <w:r>
          <w:rPr>
            <w:noProof/>
          </w:rPr>
          <w:fldChar w:fldCharType="end"/>
        </w:r>
      </w:p>
    </w:sdtContent>
  </w:sdt>
  <w:p w:rsidR="0069257C" w:rsidRDefault="00692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57C" w:rsidRDefault="0069257C">
    <w:pPr>
      <w:pStyle w:val="Footer"/>
      <w:jc w:val="center"/>
    </w:pPr>
  </w:p>
  <w:p w:rsidR="0069257C" w:rsidRDefault="00692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88" w:rsidRDefault="008C5188" w:rsidP="00013213">
      <w:pPr>
        <w:spacing w:line="240" w:lineRule="auto"/>
      </w:pPr>
      <w:r>
        <w:separator/>
      </w:r>
    </w:p>
  </w:footnote>
  <w:footnote w:type="continuationSeparator" w:id="0">
    <w:p w:rsidR="008C5188" w:rsidRDefault="008C5188" w:rsidP="000132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216"/>
    <w:multiLevelType w:val="hybridMultilevel"/>
    <w:tmpl w:val="A950154E"/>
    <w:lvl w:ilvl="0" w:tplc="9D5C4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FB"/>
    <w:rsid w:val="00013213"/>
    <w:rsid w:val="00026845"/>
    <w:rsid w:val="00027061"/>
    <w:rsid w:val="000342D1"/>
    <w:rsid w:val="00037719"/>
    <w:rsid w:val="00070F6D"/>
    <w:rsid w:val="00073B99"/>
    <w:rsid w:val="00077C75"/>
    <w:rsid w:val="000A4D73"/>
    <w:rsid w:val="000B1D41"/>
    <w:rsid w:val="000D4899"/>
    <w:rsid w:val="000E7402"/>
    <w:rsid w:val="00101239"/>
    <w:rsid w:val="00101359"/>
    <w:rsid w:val="001046B5"/>
    <w:rsid w:val="001234AA"/>
    <w:rsid w:val="00153535"/>
    <w:rsid w:val="001554F9"/>
    <w:rsid w:val="001658AC"/>
    <w:rsid w:val="0017409E"/>
    <w:rsid w:val="001837EE"/>
    <w:rsid w:val="00186426"/>
    <w:rsid w:val="001B4FC3"/>
    <w:rsid w:val="001B5B59"/>
    <w:rsid w:val="001C4D5E"/>
    <w:rsid w:val="001E2571"/>
    <w:rsid w:val="001F6CB0"/>
    <w:rsid w:val="0021077D"/>
    <w:rsid w:val="0021101D"/>
    <w:rsid w:val="00214A4F"/>
    <w:rsid w:val="00217819"/>
    <w:rsid w:val="00260622"/>
    <w:rsid w:val="002775C4"/>
    <w:rsid w:val="002918ED"/>
    <w:rsid w:val="00294A46"/>
    <w:rsid w:val="002D74DB"/>
    <w:rsid w:val="002E138A"/>
    <w:rsid w:val="002E2FB9"/>
    <w:rsid w:val="002E797C"/>
    <w:rsid w:val="00304579"/>
    <w:rsid w:val="003112B9"/>
    <w:rsid w:val="003277DC"/>
    <w:rsid w:val="00331ABD"/>
    <w:rsid w:val="00337909"/>
    <w:rsid w:val="00342EF3"/>
    <w:rsid w:val="0036291D"/>
    <w:rsid w:val="0037185E"/>
    <w:rsid w:val="003A6990"/>
    <w:rsid w:val="003B7406"/>
    <w:rsid w:val="003E1A57"/>
    <w:rsid w:val="003F27BF"/>
    <w:rsid w:val="003F5B6C"/>
    <w:rsid w:val="00411C03"/>
    <w:rsid w:val="00420B2B"/>
    <w:rsid w:val="00424E8C"/>
    <w:rsid w:val="0043278D"/>
    <w:rsid w:val="00432AA1"/>
    <w:rsid w:val="00435B50"/>
    <w:rsid w:val="004459AA"/>
    <w:rsid w:val="0045221A"/>
    <w:rsid w:val="004674F5"/>
    <w:rsid w:val="00482085"/>
    <w:rsid w:val="004838D2"/>
    <w:rsid w:val="004911ED"/>
    <w:rsid w:val="004A207C"/>
    <w:rsid w:val="004B5007"/>
    <w:rsid w:val="004D1EE9"/>
    <w:rsid w:val="004E0DDA"/>
    <w:rsid w:val="004E209A"/>
    <w:rsid w:val="00505603"/>
    <w:rsid w:val="00514CC0"/>
    <w:rsid w:val="00533136"/>
    <w:rsid w:val="00533C84"/>
    <w:rsid w:val="0055127D"/>
    <w:rsid w:val="00557D77"/>
    <w:rsid w:val="005837CB"/>
    <w:rsid w:val="005860EA"/>
    <w:rsid w:val="005B77E2"/>
    <w:rsid w:val="005C6338"/>
    <w:rsid w:val="005D6C3A"/>
    <w:rsid w:val="005F7433"/>
    <w:rsid w:val="00617EBB"/>
    <w:rsid w:val="00625D2D"/>
    <w:rsid w:val="00632120"/>
    <w:rsid w:val="00632AB3"/>
    <w:rsid w:val="006475F4"/>
    <w:rsid w:val="0066364F"/>
    <w:rsid w:val="0066590F"/>
    <w:rsid w:val="00670B6A"/>
    <w:rsid w:val="00673457"/>
    <w:rsid w:val="00683C42"/>
    <w:rsid w:val="0069257C"/>
    <w:rsid w:val="00694749"/>
    <w:rsid w:val="006A0D45"/>
    <w:rsid w:val="006A4F5A"/>
    <w:rsid w:val="006B5EC5"/>
    <w:rsid w:val="006B7331"/>
    <w:rsid w:val="006E50A1"/>
    <w:rsid w:val="006E661D"/>
    <w:rsid w:val="007078BF"/>
    <w:rsid w:val="00711D4A"/>
    <w:rsid w:val="00730A60"/>
    <w:rsid w:val="00733B53"/>
    <w:rsid w:val="0073456F"/>
    <w:rsid w:val="00747A71"/>
    <w:rsid w:val="00752B9F"/>
    <w:rsid w:val="007870D7"/>
    <w:rsid w:val="00787B46"/>
    <w:rsid w:val="007951E9"/>
    <w:rsid w:val="007A0918"/>
    <w:rsid w:val="007B0399"/>
    <w:rsid w:val="007B0CDD"/>
    <w:rsid w:val="007B342B"/>
    <w:rsid w:val="007C57BB"/>
    <w:rsid w:val="007C65F9"/>
    <w:rsid w:val="007C6A70"/>
    <w:rsid w:val="007E0737"/>
    <w:rsid w:val="007E0C95"/>
    <w:rsid w:val="007E67C8"/>
    <w:rsid w:val="007E6ADE"/>
    <w:rsid w:val="007F622E"/>
    <w:rsid w:val="008176A3"/>
    <w:rsid w:val="00825859"/>
    <w:rsid w:val="00836279"/>
    <w:rsid w:val="00836845"/>
    <w:rsid w:val="008578FB"/>
    <w:rsid w:val="00857C3F"/>
    <w:rsid w:val="00866532"/>
    <w:rsid w:val="008915E6"/>
    <w:rsid w:val="00892AD1"/>
    <w:rsid w:val="008B512A"/>
    <w:rsid w:val="008B72EC"/>
    <w:rsid w:val="008C5188"/>
    <w:rsid w:val="008D024C"/>
    <w:rsid w:val="008E16F2"/>
    <w:rsid w:val="008F2B9A"/>
    <w:rsid w:val="00914FB9"/>
    <w:rsid w:val="00915E31"/>
    <w:rsid w:val="009268BE"/>
    <w:rsid w:val="00941E8F"/>
    <w:rsid w:val="00953B63"/>
    <w:rsid w:val="009668A8"/>
    <w:rsid w:val="009712EF"/>
    <w:rsid w:val="00990E5B"/>
    <w:rsid w:val="00991B7C"/>
    <w:rsid w:val="00992665"/>
    <w:rsid w:val="00995FB2"/>
    <w:rsid w:val="009960F5"/>
    <w:rsid w:val="00997E4F"/>
    <w:rsid w:val="00997FF0"/>
    <w:rsid w:val="009C0F0B"/>
    <w:rsid w:val="009C111B"/>
    <w:rsid w:val="009E712E"/>
    <w:rsid w:val="009F666F"/>
    <w:rsid w:val="00A3100A"/>
    <w:rsid w:val="00A32765"/>
    <w:rsid w:val="00A34989"/>
    <w:rsid w:val="00A52905"/>
    <w:rsid w:val="00A62671"/>
    <w:rsid w:val="00A86B6D"/>
    <w:rsid w:val="00A92D7A"/>
    <w:rsid w:val="00A94834"/>
    <w:rsid w:val="00AA3EAC"/>
    <w:rsid w:val="00AA659C"/>
    <w:rsid w:val="00AA66EA"/>
    <w:rsid w:val="00AC5205"/>
    <w:rsid w:val="00AD0680"/>
    <w:rsid w:val="00AD19D0"/>
    <w:rsid w:val="00AF2F9A"/>
    <w:rsid w:val="00B02AE4"/>
    <w:rsid w:val="00B20C56"/>
    <w:rsid w:val="00B448E3"/>
    <w:rsid w:val="00B52643"/>
    <w:rsid w:val="00B73CF5"/>
    <w:rsid w:val="00B77136"/>
    <w:rsid w:val="00B9198A"/>
    <w:rsid w:val="00B95BA2"/>
    <w:rsid w:val="00B96F82"/>
    <w:rsid w:val="00BB3553"/>
    <w:rsid w:val="00BD3A32"/>
    <w:rsid w:val="00BD72EC"/>
    <w:rsid w:val="00BE5441"/>
    <w:rsid w:val="00BE6F1C"/>
    <w:rsid w:val="00BF1B67"/>
    <w:rsid w:val="00BF2990"/>
    <w:rsid w:val="00BF3CB3"/>
    <w:rsid w:val="00BF64CF"/>
    <w:rsid w:val="00C06990"/>
    <w:rsid w:val="00C122F8"/>
    <w:rsid w:val="00C129B3"/>
    <w:rsid w:val="00C170C0"/>
    <w:rsid w:val="00C410BD"/>
    <w:rsid w:val="00C62EBD"/>
    <w:rsid w:val="00C72CDD"/>
    <w:rsid w:val="00CC28A6"/>
    <w:rsid w:val="00CC3A76"/>
    <w:rsid w:val="00CE5010"/>
    <w:rsid w:val="00CF7C56"/>
    <w:rsid w:val="00D104BB"/>
    <w:rsid w:val="00D10644"/>
    <w:rsid w:val="00D249BF"/>
    <w:rsid w:val="00D37C7D"/>
    <w:rsid w:val="00D569CB"/>
    <w:rsid w:val="00D643CC"/>
    <w:rsid w:val="00D64708"/>
    <w:rsid w:val="00D80294"/>
    <w:rsid w:val="00D83046"/>
    <w:rsid w:val="00D939E7"/>
    <w:rsid w:val="00DB5052"/>
    <w:rsid w:val="00DB64B9"/>
    <w:rsid w:val="00DB6ED3"/>
    <w:rsid w:val="00E10954"/>
    <w:rsid w:val="00E33E6E"/>
    <w:rsid w:val="00E37948"/>
    <w:rsid w:val="00E66433"/>
    <w:rsid w:val="00E66DC0"/>
    <w:rsid w:val="00E905DD"/>
    <w:rsid w:val="00EB54D4"/>
    <w:rsid w:val="00EB616D"/>
    <w:rsid w:val="00ED63CD"/>
    <w:rsid w:val="00EE41CF"/>
    <w:rsid w:val="00EE521D"/>
    <w:rsid w:val="00EF18B8"/>
    <w:rsid w:val="00F0214D"/>
    <w:rsid w:val="00F041DB"/>
    <w:rsid w:val="00F05E9A"/>
    <w:rsid w:val="00F111FB"/>
    <w:rsid w:val="00F349B1"/>
    <w:rsid w:val="00F35DBA"/>
    <w:rsid w:val="00F3633F"/>
    <w:rsid w:val="00F467CC"/>
    <w:rsid w:val="00F537F7"/>
    <w:rsid w:val="00F87ED7"/>
    <w:rsid w:val="00FB0D53"/>
    <w:rsid w:val="00FB2683"/>
    <w:rsid w:val="00FC0D96"/>
    <w:rsid w:val="00FC4ACD"/>
    <w:rsid w:val="00FC704E"/>
    <w:rsid w:val="00FE2B1D"/>
    <w:rsid w:val="00FF6A4E"/>
    <w:rsid w:val="00FF6FF3"/>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7C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1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1FB"/>
    <w:rPr>
      <w:rFonts w:ascii="Tahoma" w:hAnsi="Tahoma" w:cs="Tahoma"/>
      <w:sz w:val="16"/>
      <w:szCs w:val="16"/>
    </w:rPr>
  </w:style>
  <w:style w:type="paragraph" w:styleId="Header">
    <w:name w:val="header"/>
    <w:basedOn w:val="Normal"/>
    <w:link w:val="HeaderChar"/>
    <w:uiPriority w:val="99"/>
    <w:unhideWhenUsed/>
    <w:rsid w:val="00013213"/>
    <w:pPr>
      <w:tabs>
        <w:tab w:val="center" w:pos="4680"/>
        <w:tab w:val="right" w:pos="9360"/>
      </w:tabs>
      <w:spacing w:line="240" w:lineRule="auto"/>
    </w:pPr>
  </w:style>
  <w:style w:type="character" w:customStyle="1" w:styleId="HeaderChar">
    <w:name w:val="Header Char"/>
    <w:basedOn w:val="DefaultParagraphFont"/>
    <w:link w:val="Header"/>
    <w:uiPriority w:val="99"/>
    <w:rsid w:val="00013213"/>
  </w:style>
  <w:style w:type="paragraph" w:styleId="Footer">
    <w:name w:val="footer"/>
    <w:basedOn w:val="Normal"/>
    <w:link w:val="FooterChar"/>
    <w:uiPriority w:val="99"/>
    <w:unhideWhenUsed/>
    <w:rsid w:val="00013213"/>
    <w:pPr>
      <w:tabs>
        <w:tab w:val="center" w:pos="4680"/>
        <w:tab w:val="right" w:pos="9360"/>
      </w:tabs>
      <w:spacing w:line="240" w:lineRule="auto"/>
    </w:pPr>
  </w:style>
  <w:style w:type="character" w:customStyle="1" w:styleId="FooterChar">
    <w:name w:val="Footer Char"/>
    <w:basedOn w:val="DefaultParagraphFont"/>
    <w:link w:val="Footer"/>
    <w:uiPriority w:val="99"/>
    <w:rsid w:val="00013213"/>
  </w:style>
  <w:style w:type="paragraph" w:styleId="Bibliography">
    <w:name w:val="Bibliography"/>
    <w:basedOn w:val="Normal"/>
    <w:next w:val="Normal"/>
    <w:uiPriority w:val="37"/>
    <w:unhideWhenUsed/>
    <w:rsid w:val="00026845"/>
  </w:style>
  <w:style w:type="character" w:styleId="Strong">
    <w:name w:val="Strong"/>
    <w:basedOn w:val="DefaultParagraphFont"/>
    <w:uiPriority w:val="22"/>
    <w:qFormat/>
    <w:rsid w:val="002E2FB9"/>
    <w:rPr>
      <w:b/>
      <w:bCs/>
    </w:rPr>
  </w:style>
  <w:style w:type="character" w:styleId="Hyperlink">
    <w:name w:val="Hyperlink"/>
    <w:basedOn w:val="DefaultParagraphFont"/>
    <w:uiPriority w:val="99"/>
    <w:unhideWhenUsed/>
    <w:rsid w:val="002E2FB9"/>
    <w:rPr>
      <w:color w:val="0000FF"/>
      <w:u w:val="single"/>
    </w:rPr>
  </w:style>
  <w:style w:type="paragraph" w:styleId="NormalWeb">
    <w:name w:val="Normal (Web)"/>
    <w:basedOn w:val="Normal"/>
    <w:uiPriority w:val="99"/>
    <w:unhideWhenUsed/>
    <w:rsid w:val="002E2FB9"/>
    <w:rPr>
      <w:rFonts w:cs="Times New Roman"/>
    </w:rPr>
  </w:style>
  <w:style w:type="table" w:styleId="TableGrid">
    <w:name w:val="Table Grid"/>
    <w:basedOn w:val="TableNormal"/>
    <w:uiPriority w:val="59"/>
    <w:rsid w:val="007E073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0737"/>
    <w:pPr>
      <w:ind w:left="720"/>
      <w:contextualSpacing/>
    </w:pPr>
  </w:style>
  <w:style w:type="table" w:styleId="LightShading-Accent1">
    <w:name w:val="Light Shading Accent 1"/>
    <w:basedOn w:val="TableNormal"/>
    <w:uiPriority w:val="60"/>
    <w:rsid w:val="00B02AE4"/>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857C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D0680"/>
    <w:pPr>
      <w:outlineLvl w:val="9"/>
    </w:pPr>
    <w:rPr>
      <w:lang w:eastAsia="ja-JP"/>
    </w:rPr>
  </w:style>
  <w:style w:type="paragraph" w:styleId="TOC1">
    <w:name w:val="toc 1"/>
    <w:basedOn w:val="Normal"/>
    <w:next w:val="Normal"/>
    <w:autoRedefine/>
    <w:uiPriority w:val="39"/>
    <w:unhideWhenUsed/>
    <w:rsid w:val="00AD068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7C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1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1FB"/>
    <w:rPr>
      <w:rFonts w:ascii="Tahoma" w:hAnsi="Tahoma" w:cs="Tahoma"/>
      <w:sz w:val="16"/>
      <w:szCs w:val="16"/>
    </w:rPr>
  </w:style>
  <w:style w:type="paragraph" w:styleId="Header">
    <w:name w:val="header"/>
    <w:basedOn w:val="Normal"/>
    <w:link w:val="HeaderChar"/>
    <w:uiPriority w:val="99"/>
    <w:unhideWhenUsed/>
    <w:rsid w:val="00013213"/>
    <w:pPr>
      <w:tabs>
        <w:tab w:val="center" w:pos="4680"/>
        <w:tab w:val="right" w:pos="9360"/>
      </w:tabs>
      <w:spacing w:line="240" w:lineRule="auto"/>
    </w:pPr>
  </w:style>
  <w:style w:type="character" w:customStyle="1" w:styleId="HeaderChar">
    <w:name w:val="Header Char"/>
    <w:basedOn w:val="DefaultParagraphFont"/>
    <w:link w:val="Header"/>
    <w:uiPriority w:val="99"/>
    <w:rsid w:val="00013213"/>
  </w:style>
  <w:style w:type="paragraph" w:styleId="Footer">
    <w:name w:val="footer"/>
    <w:basedOn w:val="Normal"/>
    <w:link w:val="FooterChar"/>
    <w:uiPriority w:val="99"/>
    <w:unhideWhenUsed/>
    <w:rsid w:val="00013213"/>
    <w:pPr>
      <w:tabs>
        <w:tab w:val="center" w:pos="4680"/>
        <w:tab w:val="right" w:pos="9360"/>
      </w:tabs>
      <w:spacing w:line="240" w:lineRule="auto"/>
    </w:pPr>
  </w:style>
  <w:style w:type="character" w:customStyle="1" w:styleId="FooterChar">
    <w:name w:val="Footer Char"/>
    <w:basedOn w:val="DefaultParagraphFont"/>
    <w:link w:val="Footer"/>
    <w:uiPriority w:val="99"/>
    <w:rsid w:val="00013213"/>
  </w:style>
  <w:style w:type="paragraph" w:styleId="Bibliography">
    <w:name w:val="Bibliography"/>
    <w:basedOn w:val="Normal"/>
    <w:next w:val="Normal"/>
    <w:uiPriority w:val="37"/>
    <w:unhideWhenUsed/>
    <w:rsid w:val="00026845"/>
  </w:style>
  <w:style w:type="character" w:styleId="Strong">
    <w:name w:val="Strong"/>
    <w:basedOn w:val="DefaultParagraphFont"/>
    <w:uiPriority w:val="22"/>
    <w:qFormat/>
    <w:rsid w:val="002E2FB9"/>
    <w:rPr>
      <w:b/>
      <w:bCs/>
    </w:rPr>
  </w:style>
  <w:style w:type="character" w:styleId="Hyperlink">
    <w:name w:val="Hyperlink"/>
    <w:basedOn w:val="DefaultParagraphFont"/>
    <w:uiPriority w:val="99"/>
    <w:unhideWhenUsed/>
    <w:rsid w:val="002E2FB9"/>
    <w:rPr>
      <w:color w:val="0000FF"/>
      <w:u w:val="single"/>
    </w:rPr>
  </w:style>
  <w:style w:type="paragraph" w:styleId="NormalWeb">
    <w:name w:val="Normal (Web)"/>
    <w:basedOn w:val="Normal"/>
    <w:uiPriority w:val="99"/>
    <w:unhideWhenUsed/>
    <w:rsid w:val="002E2FB9"/>
    <w:rPr>
      <w:rFonts w:cs="Times New Roman"/>
    </w:rPr>
  </w:style>
  <w:style w:type="table" w:styleId="TableGrid">
    <w:name w:val="Table Grid"/>
    <w:basedOn w:val="TableNormal"/>
    <w:uiPriority w:val="59"/>
    <w:rsid w:val="007E073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0737"/>
    <w:pPr>
      <w:ind w:left="720"/>
      <w:contextualSpacing/>
    </w:pPr>
  </w:style>
  <w:style w:type="table" w:styleId="LightShading-Accent1">
    <w:name w:val="Light Shading Accent 1"/>
    <w:basedOn w:val="TableNormal"/>
    <w:uiPriority w:val="60"/>
    <w:rsid w:val="00B02AE4"/>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857C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D0680"/>
    <w:pPr>
      <w:outlineLvl w:val="9"/>
    </w:pPr>
    <w:rPr>
      <w:lang w:eastAsia="ja-JP"/>
    </w:rPr>
  </w:style>
  <w:style w:type="paragraph" w:styleId="TOC1">
    <w:name w:val="toc 1"/>
    <w:basedOn w:val="Normal"/>
    <w:next w:val="Normal"/>
    <w:autoRedefine/>
    <w:uiPriority w:val="39"/>
    <w:unhideWhenUsed/>
    <w:rsid w:val="00AD068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7849">
      <w:bodyDiv w:val="1"/>
      <w:marLeft w:val="0"/>
      <w:marRight w:val="0"/>
      <w:marTop w:val="0"/>
      <w:marBottom w:val="0"/>
      <w:divBdr>
        <w:top w:val="none" w:sz="0" w:space="0" w:color="auto"/>
        <w:left w:val="none" w:sz="0" w:space="0" w:color="auto"/>
        <w:bottom w:val="none" w:sz="0" w:space="0" w:color="auto"/>
        <w:right w:val="none" w:sz="0" w:space="0" w:color="auto"/>
      </w:divBdr>
      <w:divsChild>
        <w:div w:id="2019504699">
          <w:marLeft w:val="0"/>
          <w:marRight w:val="0"/>
          <w:marTop w:val="0"/>
          <w:marBottom w:val="0"/>
          <w:divBdr>
            <w:top w:val="none" w:sz="0" w:space="0" w:color="auto"/>
            <w:left w:val="none" w:sz="0" w:space="0" w:color="auto"/>
            <w:bottom w:val="none" w:sz="0" w:space="0" w:color="auto"/>
            <w:right w:val="none" w:sz="0" w:space="0" w:color="auto"/>
          </w:divBdr>
          <w:divsChild>
            <w:div w:id="154419755">
              <w:marLeft w:val="0"/>
              <w:marRight w:val="0"/>
              <w:marTop w:val="0"/>
              <w:marBottom w:val="0"/>
              <w:divBdr>
                <w:top w:val="none" w:sz="0" w:space="0" w:color="auto"/>
                <w:left w:val="none" w:sz="0" w:space="0" w:color="auto"/>
                <w:bottom w:val="none" w:sz="0" w:space="0" w:color="auto"/>
                <w:right w:val="none" w:sz="0" w:space="0" w:color="auto"/>
              </w:divBdr>
              <w:divsChild>
                <w:div w:id="496266158">
                  <w:marLeft w:val="0"/>
                  <w:marRight w:val="0"/>
                  <w:marTop w:val="0"/>
                  <w:marBottom w:val="0"/>
                  <w:divBdr>
                    <w:top w:val="none" w:sz="0" w:space="0" w:color="auto"/>
                    <w:left w:val="none" w:sz="0" w:space="0" w:color="auto"/>
                    <w:bottom w:val="none" w:sz="0" w:space="0" w:color="auto"/>
                    <w:right w:val="none" w:sz="0" w:space="0" w:color="auto"/>
                  </w:divBdr>
                  <w:divsChild>
                    <w:div w:id="1898202590">
                      <w:marLeft w:val="0"/>
                      <w:marRight w:val="0"/>
                      <w:marTop w:val="0"/>
                      <w:marBottom w:val="0"/>
                      <w:divBdr>
                        <w:top w:val="none" w:sz="0" w:space="0" w:color="auto"/>
                        <w:left w:val="none" w:sz="0" w:space="0" w:color="auto"/>
                        <w:bottom w:val="none" w:sz="0" w:space="0" w:color="auto"/>
                        <w:right w:val="none" w:sz="0" w:space="0" w:color="auto"/>
                      </w:divBdr>
                    </w:div>
                    <w:div w:id="2061510553">
                      <w:marLeft w:val="0"/>
                      <w:marRight w:val="0"/>
                      <w:marTop w:val="0"/>
                      <w:marBottom w:val="0"/>
                      <w:divBdr>
                        <w:top w:val="none" w:sz="0" w:space="0" w:color="auto"/>
                        <w:left w:val="none" w:sz="0" w:space="0" w:color="auto"/>
                        <w:bottom w:val="none" w:sz="0" w:space="0" w:color="auto"/>
                        <w:right w:val="none" w:sz="0" w:space="0" w:color="auto"/>
                      </w:divBdr>
                    </w:div>
                    <w:div w:id="817762996">
                      <w:marLeft w:val="0"/>
                      <w:marRight w:val="0"/>
                      <w:marTop w:val="0"/>
                      <w:marBottom w:val="0"/>
                      <w:divBdr>
                        <w:top w:val="none" w:sz="0" w:space="0" w:color="auto"/>
                        <w:left w:val="none" w:sz="0" w:space="0" w:color="auto"/>
                        <w:bottom w:val="none" w:sz="0" w:space="0" w:color="auto"/>
                        <w:right w:val="none" w:sz="0" w:space="0" w:color="auto"/>
                      </w:divBdr>
                      <w:divsChild>
                        <w:div w:id="1251500544">
                          <w:marLeft w:val="0"/>
                          <w:marRight w:val="0"/>
                          <w:marTop w:val="0"/>
                          <w:marBottom w:val="0"/>
                          <w:divBdr>
                            <w:top w:val="none" w:sz="0" w:space="0" w:color="auto"/>
                            <w:left w:val="none" w:sz="0" w:space="0" w:color="auto"/>
                            <w:bottom w:val="none" w:sz="0" w:space="0" w:color="auto"/>
                            <w:right w:val="none" w:sz="0" w:space="0" w:color="auto"/>
                          </w:divBdr>
                          <w:divsChild>
                            <w:div w:id="706444853">
                              <w:marLeft w:val="0"/>
                              <w:marRight w:val="0"/>
                              <w:marTop w:val="0"/>
                              <w:marBottom w:val="0"/>
                              <w:divBdr>
                                <w:top w:val="none" w:sz="0" w:space="0" w:color="auto"/>
                                <w:left w:val="none" w:sz="0" w:space="0" w:color="auto"/>
                                <w:bottom w:val="none" w:sz="0" w:space="0" w:color="auto"/>
                                <w:right w:val="none" w:sz="0" w:space="0" w:color="auto"/>
                              </w:divBdr>
                            </w:div>
                            <w:div w:id="14568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84655">
          <w:marLeft w:val="0"/>
          <w:marRight w:val="0"/>
          <w:marTop w:val="0"/>
          <w:marBottom w:val="0"/>
          <w:divBdr>
            <w:top w:val="none" w:sz="0" w:space="0" w:color="auto"/>
            <w:left w:val="none" w:sz="0" w:space="0" w:color="auto"/>
            <w:bottom w:val="none" w:sz="0" w:space="0" w:color="auto"/>
            <w:right w:val="none" w:sz="0" w:space="0" w:color="auto"/>
          </w:divBdr>
          <w:divsChild>
            <w:div w:id="707796777">
              <w:marLeft w:val="0"/>
              <w:marRight w:val="0"/>
              <w:marTop w:val="0"/>
              <w:marBottom w:val="0"/>
              <w:divBdr>
                <w:top w:val="none" w:sz="0" w:space="0" w:color="auto"/>
                <w:left w:val="none" w:sz="0" w:space="0" w:color="auto"/>
                <w:bottom w:val="none" w:sz="0" w:space="0" w:color="auto"/>
                <w:right w:val="none" w:sz="0" w:space="0" w:color="auto"/>
              </w:divBdr>
            </w:div>
            <w:div w:id="1920938204">
              <w:marLeft w:val="0"/>
              <w:marRight w:val="0"/>
              <w:marTop w:val="0"/>
              <w:marBottom w:val="0"/>
              <w:divBdr>
                <w:top w:val="none" w:sz="0" w:space="0" w:color="auto"/>
                <w:left w:val="none" w:sz="0" w:space="0" w:color="auto"/>
                <w:bottom w:val="none" w:sz="0" w:space="0" w:color="auto"/>
                <w:right w:val="none" w:sz="0" w:space="0" w:color="auto"/>
              </w:divBdr>
            </w:div>
            <w:div w:id="1826780690">
              <w:marLeft w:val="0"/>
              <w:marRight w:val="0"/>
              <w:marTop w:val="0"/>
              <w:marBottom w:val="0"/>
              <w:divBdr>
                <w:top w:val="none" w:sz="0" w:space="0" w:color="auto"/>
                <w:left w:val="none" w:sz="0" w:space="0" w:color="auto"/>
                <w:bottom w:val="none" w:sz="0" w:space="0" w:color="auto"/>
                <w:right w:val="none" w:sz="0" w:space="0" w:color="auto"/>
              </w:divBdr>
            </w:div>
            <w:div w:id="857231666">
              <w:marLeft w:val="0"/>
              <w:marRight w:val="0"/>
              <w:marTop w:val="0"/>
              <w:marBottom w:val="0"/>
              <w:divBdr>
                <w:top w:val="single" w:sz="6" w:space="2" w:color="CCCCCC"/>
                <w:left w:val="none" w:sz="0" w:space="0" w:color="auto"/>
                <w:bottom w:val="none" w:sz="0" w:space="0" w:color="auto"/>
                <w:right w:val="none" w:sz="0" w:space="0" w:color="auto"/>
              </w:divBdr>
            </w:div>
          </w:divsChild>
        </w:div>
        <w:div w:id="1506431357">
          <w:marLeft w:val="0"/>
          <w:marRight w:val="0"/>
          <w:marTop w:val="0"/>
          <w:marBottom w:val="0"/>
          <w:divBdr>
            <w:top w:val="none" w:sz="0" w:space="0" w:color="auto"/>
            <w:left w:val="none" w:sz="0" w:space="0" w:color="auto"/>
            <w:bottom w:val="none" w:sz="0" w:space="0" w:color="auto"/>
            <w:right w:val="none" w:sz="0" w:space="0" w:color="auto"/>
          </w:divBdr>
          <w:divsChild>
            <w:div w:id="932513551">
              <w:marLeft w:val="0"/>
              <w:marRight w:val="0"/>
              <w:marTop w:val="0"/>
              <w:marBottom w:val="0"/>
              <w:divBdr>
                <w:top w:val="none" w:sz="0" w:space="0" w:color="auto"/>
                <w:left w:val="none" w:sz="0" w:space="0" w:color="auto"/>
                <w:bottom w:val="none" w:sz="0" w:space="0" w:color="auto"/>
                <w:right w:val="none" w:sz="0" w:space="0" w:color="auto"/>
              </w:divBdr>
            </w:div>
          </w:divsChild>
        </w:div>
        <w:div w:id="695424605">
          <w:marLeft w:val="0"/>
          <w:marRight w:val="0"/>
          <w:marTop w:val="0"/>
          <w:marBottom w:val="0"/>
          <w:divBdr>
            <w:top w:val="none" w:sz="0" w:space="0" w:color="auto"/>
            <w:left w:val="none" w:sz="0" w:space="0" w:color="auto"/>
            <w:bottom w:val="none" w:sz="0" w:space="0" w:color="auto"/>
            <w:right w:val="none" w:sz="0" w:space="0" w:color="auto"/>
          </w:divBdr>
          <w:divsChild>
            <w:div w:id="1867795222">
              <w:marLeft w:val="0"/>
              <w:marRight w:val="0"/>
              <w:marTop w:val="0"/>
              <w:marBottom w:val="0"/>
              <w:divBdr>
                <w:top w:val="none" w:sz="0" w:space="0" w:color="auto"/>
                <w:left w:val="none" w:sz="0" w:space="0" w:color="auto"/>
                <w:bottom w:val="none" w:sz="0" w:space="0" w:color="auto"/>
                <w:right w:val="none" w:sz="0" w:space="0" w:color="auto"/>
              </w:divBdr>
            </w:div>
          </w:divsChild>
        </w:div>
        <w:div w:id="1554850938">
          <w:marLeft w:val="0"/>
          <w:marRight w:val="0"/>
          <w:marTop w:val="0"/>
          <w:marBottom w:val="0"/>
          <w:divBdr>
            <w:top w:val="single" w:sz="6" w:space="0" w:color="CCCCCC"/>
            <w:left w:val="single" w:sz="6" w:space="0" w:color="CCCCCC"/>
            <w:bottom w:val="single" w:sz="6" w:space="0" w:color="CCCCCC"/>
            <w:right w:val="single" w:sz="6" w:space="0" w:color="CCCCCC"/>
          </w:divBdr>
        </w:div>
        <w:div w:id="162285612">
          <w:marLeft w:val="0"/>
          <w:marRight w:val="0"/>
          <w:marTop w:val="0"/>
          <w:marBottom w:val="0"/>
          <w:divBdr>
            <w:top w:val="none" w:sz="0" w:space="0" w:color="auto"/>
            <w:left w:val="none" w:sz="0" w:space="0" w:color="auto"/>
            <w:bottom w:val="none" w:sz="0" w:space="0" w:color="auto"/>
            <w:right w:val="none" w:sz="0" w:space="0" w:color="auto"/>
          </w:divBdr>
          <w:divsChild>
            <w:div w:id="1145775464">
              <w:marLeft w:val="0"/>
              <w:marRight w:val="0"/>
              <w:marTop w:val="0"/>
              <w:marBottom w:val="0"/>
              <w:divBdr>
                <w:top w:val="none" w:sz="0" w:space="0" w:color="auto"/>
                <w:left w:val="none" w:sz="0" w:space="0" w:color="auto"/>
                <w:bottom w:val="none" w:sz="0" w:space="0" w:color="auto"/>
                <w:right w:val="none" w:sz="0" w:space="0" w:color="auto"/>
              </w:divBdr>
              <w:divsChild>
                <w:div w:id="1852990991">
                  <w:marLeft w:val="0"/>
                  <w:marRight w:val="0"/>
                  <w:marTop w:val="0"/>
                  <w:marBottom w:val="0"/>
                  <w:divBdr>
                    <w:top w:val="none" w:sz="0" w:space="0" w:color="auto"/>
                    <w:left w:val="none" w:sz="0" w:space="0" w:color="auto"/>
                    <w:bottom w:val="none" w:sz="0" w:space="0" w:color="auto"/>
                    <w:right w:val="none" w:sz="0" w:space="0" w:color="auto"/>
                  </w:divBdr>
                </w:div>
                <w:div w:id="1727144167">
                  <w:marLeft w:val="0"/>
                  <w:marRight w:val="0"/>
                  <w:marTop w:val="0"/>
                  <w:marBottom w:val="0"/>
                  <w:divBdr>
                    <w:top w:val="none" w:sz="0" w:space="0" w:color="auto"/>
                    <w:left w:val="none" w:sz="0" w:space="0" w:color="auto"/>
                    <w:bottom w:val="none" w:sz="0" w:space="0" w:color="auto"/>
                    <w:right w:val="none" w:sz="0" w:space="0" w:color="auto"/>
                  </w:divBdr>
                </w:div>
                <w:div w:id="1635672313">
                  <w:marLeft w:val="0"/>
                  <w:marRight w:val="0"/>
                  <w:marTop w:val="0"/>
                  <w:marBottom w:val="0"/>
                  <w:divBdr>
                    <w:top w:val="none" w:sz="0" w:space="0" w:color="auto"/>
                    <w:left w:val="none" w:sz="0" w:space="0" w:color="auto"/>
                    <w:bottom w:val="none" w:sz="0" w:space="0" w:color="auto"/>
                    <w:right w:val="none" w:sz="0" w:space="0" w:color="auto"/>
                  </w:divBdr>
                </w:div>
                <w:div w:id="15755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tm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_PFPOpenClose();"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horndale for VST">
    <w:panose1 w:val="02020603050405020304"/>
    <w:charset w:val="00"/>
    <w:family w:val="roman"/>
    <w:pitch w:val="variable"/>
    <w:sig w:usb0="00000287" w:usb1="000004E8"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CC"/>
    <w:rsid w:val="00452F6A"/>
    <w:rsid w:val="004B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268BF2E37B419E944D3D65E237D292">
    <w:name w:val="A8268BF2E37B419E944D3D65E237D292"/>
    <w:rsid w:val="004B5E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268BF2E37B419E944D3D65E237D292">
    <w:name w:val="A8268BF2E37B419E944D3D65E237D292"/>
    <w:rsid w:val="004B5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Eco122</b:Tag>
    <b:SourceType>InternetSite</b:SourceType>
    <b:Guid>{42ABB82B-F1E9-4B30-A24E-52081D15F237}</b:Guid>
    <b:Title>Economy 101</b:Title>
    <b:Year>2012</b:Year>
    <b:InternetSiteTitle>Practical Money Skills</b:InternetSiteTitle>
    <b:Month>10</b:Month>
    <b:Day>8</b:Day>
    <b:URL>http://www.practicalmoneyskills.com/foreducators/econ101/20090710_fiscal_policy.php</b:URL>
    <b:RefOrder>1</b:RefOrder>
  </b:Source>
  <b:Source>
    <b:Tag>Cur121</b:Tag>
    <b:SourceType>InternetSite</b:SourceType>
    <b:Guid>{9219EEC2-AD62-4273-8401-34EE86D85931}</b:Guid>
    <b:Title>Current Issues in U.S. Monetary Policy</b:Title>
    <b:InternetSiteTitle>Federal Reserve of Cleveland</b:InternetSiteTitle>
    <b:Year>2012</b:Year>
    <b:Month>10</b:Month>
    <b:Day>8</b:Day>
    <b:URL>http://clevelandfed.org/For_the_Public/News_and_Media/Speeches/2011/Pianalto_20110407.cfm</b:URL>
    <b:RefOrder>2</b:RefOrder>
  </b:Source>
  <b:Source>
    <b:Tag>Goo121</b:Tag>
    <b:SourceType>InternetSite</b:SourceType>
    <b:Guid>{7314672E-3F42-4D9E-8BF5-DD4B163BB379}</b:Guid>
    <b:Title>Google Public Data</b:Title>
    <b:InternetSiteTitle>www.google.com</b:InternetSiteTitle>
    <b:Year>2012</b:Year>
    <b:Month>10</b:Month>
    <b:Day>8</b:Day>
    <b:URL>http://www.google.com/publicdata/explore?ds=d5bncppjof8f9_&amp;met_y=ny_gdp_mktp_cd&amp;idim=country:USA&amp;dl=en&amp;hl=en&amp;q=gross+domestic+product</b:URL>
    <b:RefOrder>3</b:RefOrder>
  </b:Source>
  <b:Source>
    <b:Tag>Emp12</b:Tag>
    <b:SourceType>InternetSite</b:SourceType>
    <b:Guid>{A2DEAB5F-21F4-4AB9-ABC3-F7C79C7C821E}</b:Guid>
    <b:Title>Employment Situation Summary</b:Title>
    <b:InternetSiteTitle>Bureau of Labor Statistics</b:InternetSiteTitle>
    <b:Year>2012</b:Year>
    <b:Month>10</b:Month>
    <b:Day>8</b:Day>
    <b:URL>http://www.bls.gov/news.release/empsit.nr0.htm</b:URL>
    <b:RefOrder>4</b:RefOrder>
  </b:Source>
  <b:Source>
    <b:Tag>Dan12</b:Tag>
    <b:SourceType>InternetSite</b:SourceType>
    <b:Guid>{EB2C3D5B-FABD-4C33-AABB-37350A5D1E44}</b:Guid>
    <b:Author>
      <b:Author>
        <b:NameList>
          <b:Person>
            <b:Last>Rosso</b:Last>
            <b:First>Dan</b:First>
          </b:Person>
        </b:NameList>
      </b:Author>
    </b:Author>
    <b:Title>Global Semiconductor Sales Remain Flat in August</b:Title>
    <b:InternetSiteTitle>Semiconductor Industry Association</b:InternetSiteTitle>
    <b:Year>2012</b:Year>
    <b:Month>10</b:Month>
    <b:Day>8</b:Day>
    <b:URL>http://www.sia-online.org/news/2012/10/02/global_sales_report_2012/global_semiconductor_sales_remain_flat_in_august/</b:URL>
    <b:RefOrder>5</b:RefOrder>
  </b:Source>
  <b:Source>
    <b:Tag>Mik12</b:Tag>
    <b:SourceType>InternetSite</b:SourceType>
    <b:Guid>{46AC3B86-BD49-4BFE-95E0-5E4817B58DC2}</b:Guid>
    <b:Author>
      <b:Author>
        <b:NameList>
          <b:Person>
            <b:Last>Mikolajczak</b:Last>
            <b:First>Chuck</b:First>
          </b:Person>
        </b:NameList>
      </b:Author>
    </b:Author>
    <b:Title>Wall Street Falls at open after World Bank's Asia Outlook</b:Title>
    <b:InternetSiteTitle>Yahoo! News</b:InternetSiteTitle>
    <b:Year>2012</b:Year>
    <b:Month>10</b:Month>
    <b:Day>8</b:Day>
    <b:URL>http://news.yahoo.com/stock-index-futures-signal-early-losses-085538762--finance.html</b:URL>
    <b:RefOrder>6</b:RefOrder>
  </b:Source>
  <b:Source>
    <b:Tag>Sem12</b:Tag>
    <b:SourceType>InternetSite</b:SourceType>
    <b:Guid>{1296BAE8-18C6-423C-AF54-DD6CD2812318}</b:Guid>
    <b:Title>Semiconductor Industry Outlook</b:Title>
    <b:InternetSiteTitle>Zack's Investment Research</b:InternetSiteTitle>
    <b:Year>2012</b:Year>
    <b:Month>10</b:Month>
    <b:Day>8</b:Day>
    <b:URL>http://www.zacks.com/stock/news/51665/semiconductor-industry-outlook-apr-2011</b:URL>
    <b:RefOrder>7</b:RefOrder>
  </b:Source>
  <b:Source>
    <b:Tag>Int122</b:Tag>
    <b:SourceType>InternetSite</b:SourceType>
    <b:Guid>{C2CB5BC3-3216-48A4-A1D3-4BF6D1D3E6AB}</b:Guid>
    <b:Title>Intel Corp. Dividend Discount Model</b:Title>
    <b:InternetSiteTitle>Stock Analysis on Net</b:InternetSiteTitle>
    <b:Year>2012</b:Year>
    <b:Month>10</b:Month>
    <b:Day>11</b:Day>
    <b:URL>http://www.stock-analysis-on.net/NYSE/Company/Intel-Corp/DCF/DDM#r</b:URL>
    <b:RefOrder>8</b:RefOrder>
  </b:Source>
  <b:Source>
    <b:Tag>Yah124</b:Tag>
    <b:SourceType>InternetSite</b:SourceType>
    <b:Guid>{E51084FA-D725-4FCE-B9AA-F18AC15C2569}</b:Guid>
    <b:Title>Yahoo!Finance</b:Title>
    <b:InternetSiteTitle>finance.yahoo.com</b:InternetSiteTitle>
    <b:Year>2012</b:Year>
    <b:Month>10</b:Month>
    <b:Day>11</b:Day>
    <b:URL>http://finance.yahoo.com/q/ae?s=INTC+Analyst+Estimates</b:URL>
    <b:RefOrder>10</b:RefOrder>
  </b:Source>
  <b:Source>
    <b:Tag>ADV12</b:Tag>
    <b:SourceType>InternetSite</b:SourceType>
    <b:Guid>{EF0BE209-97BA-4237-A750-18242AFDCC91}</b:Guid>
    <b:Title>advfn.com</b:Title>
    <b:InternetSiteTitle>www.advfn.com</b:InternetSiteTitle>
    <b:Year>2012</b:Year>
    <b:Month>10</b:Month>
    <b:Day>11</b:Day>
    <b:URL>http://www.advfn.com/p.php?pid=financials&amp;symbol=N^INTC</b:URL>
    <b:RefOrder>9</b:RefOrder>
  </b:Source>
  <b:Source>
    <b:Tag>Int123</b:Tag>
    <b:SourceType>InternetSite</b:SourceType>
    <b:Guid>{BD15FC96-0C71-4BC5-826A-C1F86B910D76}</b:Guid>
    <b:Title>Intel Corp. Investor Kit</b:Title>
    <b:InternetSiteTitle>www.companyspotlight.com</b:InternetSiteTitle>
    <b:Year>2012</b:Year>
    <b:Month>10</b:Month>
    <b:Day>11</b:Day>
    <b:URL>http://www.companyspotlight.com/viewer/28189</b:URL>
    <b:RefOrder>22</b:RefOrder>
  </b:Source>
  <b:Source>
    <b:Tag>YCh12</b:Tag>
    <b:SourceType>InternetSite</b:SourceType>
    <b:Guid>{1793EE9A-3F2A-4320-A7EA-57033AE1F461}</b:Guid>
    <b:Title>YCharts</b:Title>
    <b:InternetSiteTitle>ycharts.com</b:InternetSiteTitle>
    <b:Year>2012</b:Year>
    <b:Month>10</b:Month>
    <b:Day>12</b:Day>
    <b:URL>http://ycharts.com/companies/INTC/gross_profit_margin</b:URL>
    <b:RefOrder>11</b:RefOrder>
  </b:Source>
  <b:Source>
    <b:Tag>Mor12</b:Tag>
    <b:SourceType>InternetSite</b:SourceType>
    <b:Guid>{27B44D68-84AC-4EE1-ACEB-7CD190D064FA}</b:Guid>
    <b:Title>Morningstar</b:Title>
    <b:InternetSiteTitle>quicktake.morningstar.com</b:InternetSiteTitle>
    <b:Year>2012</b:Year>
    <b:Month>10</b:Month>
    <b:Day>12</b:Day>
    <b:URL>http://quicktake.morningstar.com/stocknet/mstockgrades.aspx?symbol=intc</b:URL>
    <b:RefOrder>12</b:RefOrder>
  </b:Source>
  <b:Source>
    <b:Tag>Sto121</b:Tag>
    <b:SourceType>InternetSite</b:SourceType>
    <b:Guid>{C2211253-E05F-4F0F-A1B9-BC052F113F0D}</b:Guid>
    <b:Title>Stock Analysis on the Net</b:Title>
    <b:InternetSiteTitle>www.stock-analysis-on.net</b:InternetSiteTitle>
    <b:Year>2012</b:Year>
    <b:Month>10</b:Month>
    <b:Day>11</b:Day>
    <b:URL>http://www.stock-analysis-on.net/NYSE/Company/Intel-Corp/Ratios/Short-term-Operating-Activity#Receivables-Turnover</b:URL>
    <b:RefOrder>13</b:RefOrder>
  </b:Source>
  <b:Source>
    <b:Tag>Int124</b:Tag>
    <b:SourceType>InternetSite</b:SourceType>
    <b:Guid>{2C6C559E-0440-4037-8609-954D4E94C88C}</b:Guid>
    <b:Title>Intel Corporation Current Ratio</b:Title>
    <b:InternetSiteTitle>ycharts.com</b:InternetSiteTitle>
    <b:Year>2012</b:Year>
    <b:Month>10</b:Month>
    <b:Day>11</b:Day>
    <b:URL>http://ycharts.com/companies/INTC/current_ratio</b:URL>
    <b:RefOrder>14</b:RefOrder>
  </b:Source>
  <b:Source>
    <b:Tag>Int125</b:Tag>
    <b:SourceType>InternetSite</b:SourceType>
    <b:Guid>{219AFD7C-922C-4614-9C5F-DEA0402CEB71}</b:Guid>
    <b:Title>Intel's Historical Debt to Equity Ratio</b:Title>
    <b:InternetSiteTitle>ycharts.com</b:InternetSiteTitle>
    <b:Year>2012</b:Year>
    <b:Month>10</b:Month>
    <b:Day>11</b:Day>
    <b:URL>http://ycharts.com/companies/INTC/debt_equity_ratio</b:URL>
    <b:RefOrder>15</b:RefOrder>
  </b:Source>
  <b:Source>
    <b:Tag>Int126</b:Tag>
    <b:SourceType>InternetSite</b:SourceType>
    <b:Guid>{E888BDAD-06D8-4626-8017-144916BB49DE}</b:Guid>
    <b:Title>Intel Corporation Current PE ratio</b:Title>
    <b:InternetSiteTitle>ycharts.com</b:InternetSiteTitle>
    <b:Year>2012</b:Year>
    <b:Month>10</b:Month>
    <b:Day>11</b:Day>
    <b:URL>http://ycharts.com/companies/INTC/pe_ratio</b:URL>
    <b:RefOrder>16</b:RefOrder>
  </b:Source>
  <b:Source>
    <b:Tag>Int127</b:Tag>
    <b:SourceType>InternetSite</b:SourceType>
    <b:Guid>{76275E4E-6FC5-4B03-B6F9-7D9ECA290C90}</b:Guid>
    <b:Title>Intel Corporation Historical Dividend Yield Data</b:Title>
    <b:InternetSiteTitle>ycharts.com</b:InternetSiteTitle>
    <b:Year>2012</b:Year>
    <b:Month>10</b:Month>
    <b:Day>12</b:Day>
    <b:URL>http://ycharts.com/companies/INTC/dividend_yield</b:URL>
    <b:RefOrder>18</b:RefOrder>
  </b:Source>
  <b:Source>
    <b:Tag>Int128</b:Tag>
    <b:SourceType>InternetSite</b:SourceType>
    <b:Guid>{C7DB95F2-75FD-40AC-90E0-E1B3B7FBD5F1}</b:Guid>
    <b:Title>Intel Corporation Price/Book Value</b:Title>
    <b:InternetSiteTitle>ycharts.com</b:InternetSiteTitle>
    <b:Year>2012</b:Year>
    <b:Month>10</b:Month>
    <b:Day>12</b:Day>
    <b:URL>http://ycharts.com/companies/INTC/price_to_book_value</b:URL>
    <b:RefOrder>17</b:RefOrder>
  </b:Source>
  <b:Source>
    <b:Tag>Int129</b:Tag>
    <b:SourceType>InternetSite</b:SourceType>
    <b:Guid>{7A14F1B9-0515-4BB1-9D85-C7BBE7E97A5E}</b:Guid>
    <b:Title>Intel 2010 Annual Report</b:Title>
    <b:InternetSiteTitle>www.intc.com</b:InternetSiteTitle>
    <b:Year>2012</b:Year>
    <b:Month>10</b:Month>
    <b:Day>12</b:Day>
    <b:URL>http://www.intc.com/intelAR2010/mda/operations/provision_taxes/index.html</b:URL>
    <b:RefOrder>19</b:RefOrder>
  </b:Source>
  <b:Source>
    <b:Tag>Cur122</b:Tag>
    <b:SourceType>InternetSite</b:SourceType>
    <b:Guid>{331ACAEC-744F-475B-800D-A0E873354EFA}</b:Guid>
    <b:Title>Current Rankings for Semiconductor</b:Title>
    <b:InternetSiteTitle>ycharts.com</b:InternetSiteTitle>
    <b:Year>2012</b:Year>
    <b:Month>10</b:Month>
    <b:Day>14</b:Day>
    <b:URL>http://ycharts.com/rankings/industries/Semiconductor%20-%20Broad%20Line/current_ratio</b:URL>
    <b:RefOrder>20</b:RefOrder>
  </b:Source>
  <b:Source>
    <b:Tag>Cha121</b:Tag>
    <b:SourceType>InternetSite</b:SourceType>
    <b:Guid>{A88C7BFC-DE8D-40C1-B83A-1C88337151D0}</b:Guid>
    <b:Title>Charts for Intel</b:Title>
    <b:InternetSiteTitle>www.investorguide.com</b:InternetSiteTitle>
    <b:Year>2012</b:Year>
    <b:Month>10</b:Month>
    <b:Day>14</b:Day>
    <b:URL>http://www.investorguide.com/stock-charts.php?ticker=INTC</b:URL>
    <b:RefOrder>21</b:RefOrder>
  </b:Source>
</b:Sources>
</file>

<file path=customXml/itemProps1.xml><?xml version="1.0" encoding="utf-8"?>
<ds:datastoreItem xmlns:ds="http://schemas.openxmlformats.org/officeDocument/2006/customXml" ds:itemID="{F651C649-D2D6-4B5E-B9DB-C0213D00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16</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Vang</dc:creator>
  <cp:lastModifiedBy>Lee Vang</cp:lastModifiedBy>
  <cp:revision>68</cp:revision>
  <dcterms:created xsi:type="dcterms:W3CDTF">2012-09-27T07:16:00Z</dcterms:created>
  <dcterms:modified xsi:type="dcterms:W3CDTF">2012-10-14T20:23:00Z</dcterms:modified>
</cp:coreProperties>
</file>